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857734F">
      <w:pPr>
        <w:spacing w:line="600" w:lineRule="auto"/>
        <w:jc w:val="left"/>
        <w:rPr>
          <w:rFonts w:ascii="宋体" w:hAnsi="宋体"/>
          <w:b/>
          <w:color w:val="auto"/>
          <w:sz w:val="28"/>
          <w:szCs w:val="28"/>
          <w:highlight w:val="none"/>
        </w:rPr>
      </w:pPr>
      <w:r>
        <w:rPr>
          <w:rFonts w:hint="eastAsia" w:ascii="宋体" w:hAnsi="宋体"/>
          <w:b/>
          <w:color w:val="auto"/>
          <w:sz w:val="28"/>
          <w:szCs w:val="28"/>
          <w:highlight w:val="none"/>
        </w:rPr>
        <w:t>本合同共有八册，本册为第七册</w:t>
      </w:r>
    </w:p>
    <w:p w14:paraId="2DC1E21E">
      <w:pPr>
        <w:spacing w:line="600" w:lineRule="auto"/>
        <w:jc w:val="center"/>
        <w:rPr>
          <w:rFonts w:ascii="仿宋" w:hAnsi="仿宋" w:eastAsia="仿宋"/>
          <w:b/>
          <w:color w:val="auto"/>
          <w:sz w:val="56"/>
          <w:szCs w:val="72"/>
          <w:highlight w:val="none"/>
        </w:rPr>
      </w:pPr>
    </w:p>
    <w:p w14:paraId="0EFB96B5">
      <w:pPr>
        <w:spacing w:line="600" w:lineRule="auto"/>
        <w:jc w:val="center"/>
        <w:rPr>
          <w:rFonts w:ascii="仿宋" w:hAnsi="仿宋" w:eastAsia="仿宋"/>
          <w:b/>
          <w:color w:val="auto"/>
          <w:sz w:val="56"/>
          <w:szCs w:val="72"/>
          <w:highlight w:val="none"/>
        </w:rPr>
      </w:pPr>
    </w:p>
    <w:p w14:paraId="61C184A1">
      <w:pPr>
        <w:spacing w:line="600" w:lineRule="auto"/>
        <w:jc w:val="center"/>
        <w:rPr>
          <w:rFonts w:ascii="仿宋" w:hAnsi="仿宋" w:eastAsia="仿宋"/>
          <w:b/>
          <w:color w:val="auto"/>
          <w:sz w:val="56"/>
          <w:szCs w:val="72"/>
          <w:highlight w:val="none"/>
        </w:rPr>
      </w:pPr>
    </w:p>
    <w:p w14:paraId="4FF65FF8">
      <w:pPr>
        <w:spacing w:line="600" w:lineRule="auto"/>
        <w:jc w:val="center"/>
        <w:rPr>
          <w:rFonts w:ascii="仿宋" w:hAnsi="仿宋" w:eastAsia="仿宋"/>
          <w:b/>
          <w:color w:val="auto"/>
          <w:sz w:val="56"/>
          <w:szCs w:val="72"/>
          <w:highlight w:val="none"/>
        </w:rPr>
      </w:pPr>
    </w:p>
    <w:p w14:paraId="66A62F31">
      <w:pPr>
        <w:spacing w:line="600" w:lineRule="auto"/>
        <w:jc w:val="center"/>
        <w:rPr>
          <w:rFonts w:ascii="仿宋" w:hAnsi="仿宋" w:eastAsia="仿宋"/>
          <w:b/>
          <w:color w:val="auto"/>
          <w:sz w:val="56"/>
          <w:szCs w:val="72"/>
          <w:highlight w:val="none"/>
        </w:rPr>
      </w:pPr>
      <w:r>
        <w:rPr>
          <w:rFonts w:ascii="仿宋" w:hAnsi="仿宋" w:eastAsia="仿宋"/>
          <w:b/>
          <w:color w:val="auto"/>
          <w:sz w:val="56"/>
          <w:szCs w:val="72"/>
          <w:highlight w:val="none"/>
        </w:rPr>
        <w:t>第七册</w:t>
      </w:r>
    </w:p>
    <w:p w14:paraId="608FCC89">
      <w:pPr>
        <w:spacing w:line="600" w:lineRule="auto"/>
        <w:jc w:val="center"/>
        <w:rPr>
          <w:rFonts w:ascii="仿宋" w:hAnsi="仿宋" w:eastAsia="仿宋"/>
          <w:b/>
          <w:color w:val="auto"/>
          <w:sz w:val="56"/>
          <w:szCs w:val="72"/>
          <w:highlight w:val="none"/>
        </w:rPr>
      </w:pPr>
      <w:r>
        <w:rPr>
          <w:rFonts w:hint="eastAsia" w:ascii="仿宋" w:hAnsi="仿宋" w:eastAsia="仿宋"/>
          <w:b/>
          <w:color w:val="auto"/>
          <w:sz w:val="56"/>
          <w:szCs w:val="72"/>
          <w:highlight w:val="none"/>
        </w:rPr>
        <w:t>《现场管理规定及奖罚细则》</w:t>
      </w:r>
    </w:p>
    <w:p w14:paraId="1D148CAC">
      <w:pPr>
        <w:spacing w:line="400" w:lineRule="exact"/>
        <w:jc w:val="center"/>
        <w:rPr>
          <w:rFonts w:ascii="仿宋" w:hAnsi="仿宋" w:eastAsia="仿宋"/>
          <w:b/>
          <w:color w:val="auto"/>
          <w:sz w:val="32"/>
          <w:szCs w:val="32"/>
          <w:highlight w:val="none"/>
        </w:rPr>
      </w:pPr>
    </w:p>
    <w:p w14:paraId="48CD4E08">
      <w:pPr>
        <w:spacing w:line="400" w:lineRule="exact"/>
        <w:jc w:val="center"/>
        <w:rPr>
          <w:rFonts w:ascii="仿宋" w:hAnsi="仿宋" w:eastAsia="仿宋"/>
          <w:b/>
          <w:color w:val="auto"/>
          <w:sz w:val="32"/>
          <w:szCs w:val="32"/>
          <w:highlight w:val="none"/>
        </w:rPr>
      </w:pPr>
    </w:p>
    <w:p w14:paraId="1AC8B455">
      <w:pPr>
        <w:spacing w:line="400" w:lineRule="exact"/>
        <w:jc w:val="center"/>
        <w:rPr>
          <w:rFonts w:ascii="仿宋" w:hAnsi="仿宋" w:eastAsia="仿宋"/>
          <w:b/>
          <w:color w:val="auto"/>
          <w:sz w:val="32"/>
          <w:szCs w:val="32"/>
          <w:highlight w:val="none"/>
        </w:rPr>
      </w:pPr>
    </w:p>
    <w:p w14:paraId="6504FED3">
      <w:pPr>
        <w:spacing w:line="400" w:lineRule="exact"/>
        <w:jc w:val="center"/>
        <w:rPr>
          <w:rFonts w:ascii="仿宋" w:hAnsi="仿宋" w:eastAsia="仿宋"/>
          <w:b/>
          <w:color w:val="auto"/>
          <w:sz w:val="32"/>
          <w:szCs w:val="32"/>
          <w:highlight w:val="none"/>
        </w:rPr>
      </w:pPr>
    </w:p>
    <w:p w14:paraId="370153D0">
      <w:pPr>
        <w:spacing w:line="400" w:lineRule="exact"/>
        <w:jc w:val="center"/>
        <w:rPr>
          <w:rFonts w:ascii="仿宋" w:hAnsi="仿宋" w:eastAsia="仿宋"/>
          <w:b/>
          <w:color w:val="auto"/>
          <w:sz w:val="32"/>
          <w:szCs w:val="32"/>
          <w:highlight w:val="none"/>
        </w:rPr>
      </w:pPr>
    </w:p>
    <w:p w14:paraId="1235CE8F">
      <w:pPr>
        <w:spacing w:line="400" w:lineRule="exact"/>
        <w:jc w:val="center"/>
        <w:rPr>
          <w:rFonts w:ascii="仿宋" w:hAnsi="仿宋" w:eastAsia="仿宋"/>
          <w:b/>
          <w:color w:val="auto"/>
          <w:sz w:val="32"/>
          <w:szCs w:val="32"/>
          <w:highlight w:val="none"/>
        </w:rPr>
      </w:pPr>
    </w:p>
    <w:p w14:paraId="06B18D14">
      <w:pPr>
        <w:spacing w:line="400" w:lineRule="exact"/>
        <w:jc w:val="center"/>
        <w:rPr>
          <w:rFonts w:ascii="仿宋" w:hAnsi="仿宋" w:eastAsia="仿宋"/>
          <w:b/>
          <w:color w:val="auto"/>
          <w:sz w:val="32"/>
          <w:szCs w:val="32"/>
          <w:highlight w:val="none"/>
        </w:rPr>
      </w:pPr>
    </w:p>
    <w:p w14:paraId="50ACB793">
      <w:pPr>
        <w:pStyle w:val="36"/>
        <w:rPr>
          <w:rFonts w:ascii="仿宋" w:hAnsi="仿宋" w:eastAsia="仿宋"/>
          <w:color w:val="auto"/>
          <w:highlight w:val="none"/>
        </w:rPr>
      </w:pPr>
    </w:p>
    <w:p w14:paraId="6A107270">
      <w:pPr>
        <w:pStyle w:val="36"/>
        <w:rPr>
          <w:rFonts w:ascii="仿宋" w:hAnsi="仿宋" w:eastAsia="仿宋"/>
          <w:color w:val="auto"/>
          <w:highlight w:val="none"/>
        </w:rPr>
      </w:pPr>
    </w:p>
    <w:p w14:paraId="60785887">
      <w:pPr>
        <w:spacing w:line="400" w:lineRule="exact"/>
        <w:jc w:val="center"/>
        <w:rPr>
          <w:rFonts w:ascii="仿宋" w:hAnsi="仿宋" w:eastAsia="仿宋"/>
          <w:b/>
          <w:color w:val="auto"/>
          <w:sz w:val="32"/>
          <w:szCs w:val="32"/>
          <w:highlight w:val="none"/>
        </w:rPr>
      </w:pPr>
    </w:p>
    <w:p w14:paraId="3A995285">
      <w:pPr>
        <w:spacing w:line="400" w:lineRule="exact"/>
        <w:rPr>
          <w:rFonts w:ascii="仿宋" w:hAnsi="仿宋" w:eastAsia="仿宋"/>
          <w:b/>
          <w:color w:val="auto"/>
          <w:sz w:val="32"/>
          <w:szCs w:val="32"/>
          <w:highlight w:val="none"/>
        </w:rPr>
      </w:pPr>
      <w:r>
        <w:rPr>
          <w:rFonts w:hint="eastAsia" w:ascii="仿宋" w:hAnsi="仿宋" w:eastAsia="仿宋"/>
          <w:b/>
          <w:color w:val="auto"/>
          <w:sz w:val="32"/>
          <w:szCs w:val="32"/>
          <w:highlight w:val="none"/>
        </w:rPr>
        <w:t xml:space="preserve">                日期：2</w:t>
      </w:r>
      <w:r>
        <w:rPr>
          <w:rFonts w:ascii="仿宋" w:hAnsi="仿宋" w:eastAsia="仿宋"/>
          <w:b/>
          <w:color w:val="auto"/>
          <w:sz w:val="32"/>
          <w:szCs w:val="32"/>
          <w:highlight w:val="none"/>
        </w:rPr>
        <w:t>021年</w:t>
      </w:r>
      <w:r>
        <w:rPr>
          <w:rFonts w:hint="eastAsia" w:ascii="仿宋" w:hAnsi="仿宋" w:eastAsia="仿宋"/>
          <w:b/>
          <w:color w:val="auto"/>
          <w:sz w:val="32"/>
          <w:szCs w:val="32"/>
          <w:highlight w:val="none"/>
        </w:rPr>
        <w:t>7月</w:t>
      </w:r>
    </w:p>
    <w:p w14:paraId="5368D5F6">
      <w:pPr>
        <w:spacing w:line="560" w:lineRule="exact"/>
        <w:ind w:left="420"/>
        <w:jc w:val="center"/>
        <w:rPr>
          <w:rFonts w:ascii="仿宋" w:hAnsi="仿宋" w:eastAsia="仿宋" w:cs="宋体"/>
          <w:b/>
          <w:color w:val="auto"/>
          <w:sz w:val="32"/>
          <w:szCs w:val="32"/>
          <w:highlight w:val="none"/>
        </w:rPr>
      </w:pPr>
    </w:p>
    <w:p w14:paraId="4858A5F0">
      <w:pPr>
        <w:spacing w:line="560" w:lineRule="exact"/>
        <w:ind w:left="420"/>
        <w:jc w:val="center"/>
        <w:rPr>
          <w:rFonts w:ascii="仿宋" w:hAnsi="仿宋" w:eastAsia="仿宋" w:cs="宋体"/>
          <w:b/>
          <w:color w:val="auto"/>
          <w:sz w:val="32"/>
          <w:szCs w:val="32"/>
          <w:highlight w:val="none"/>
        </w:rPr>
      </w:pPr>
    </w:p>
    <w:p w14:paraId="6BB3BA39">
      <w:pPr>
        <w:spacing w:line="560" w:lineRule="exact"/>
        <w:ind w:left="420"/>
        <w:jc w:val="center"/>
        <w:rPr>
          <w:rFonts w:ascii="仿宋" w:hAnsi="仿宋" w:eastAsia="仿宋" w:cs="宋体"/>
          <w:b/>
          <w:color w:val="auto"/>
          <w:sz w:val="32"/>
          <w:szCs w:val="32"/>
          <w:highlight w:val="none"/>
        </w:rPr>
      </w:pPr>
    </w:p>
    <w:p w14:paraId="7757E5F8">
      <w:pPr>
        <w:pStyle w:val="101"/>
        <w:jc w:val="center"/>
        <w:rPr>
          <w:b w:val="0"/>
          <w:bCs w:val="0"/>
          <w:color w:val="auto"/>
          <w:kern w:val="0"/>
          <w:sz w:val="20"/>
          <w:szCs w:val="24"/>
          <w:highlight w:val="none"/>
          <w:lang w:val="zh-CN"/>
        </w:rPr>
        <w:sectPr>
          <w:headerReference r:id="rId3" w:type="default"/>
          <w:pgSz w:w="11906" w:h="16838"/>
          <w:pgMar w:top="1440" w:right="1800" w:bottom="1440" w:left="1800" w:header="851" w:footer="992" w:gutter="0"/>
          <w:cols w:space="425" w:num="1"/>
          <w:docGrid w:type="lines" w:linePitch="312" w:charSpace="0"/>
        </w:sectPr>
      </w:pPr>
      <w:bookmarkStart w:id="0" w:name="_Toc4251"/>
    </w:p>
    <w:sdt>
      <w:sdtPr>
        <w:rPr>
          <w:b w:val="0"/>
          <w:bCs w:val="0"/>
          <w:color w:val="auto"/>
          <w:kern w:val="0"/>
          <w:sz w:val="20"/>
          <w:szCs w:val="24"/>
          <w:highlight w:val="none"/>
          <w:lang w:val="zh-CN"/>
        </w:rPr>
        <w:id w:val="-574823553"/>
        <w:docPartObj>
          <w:docPartGallery w:val="Table of Contents"/>
          <w:docPartUnique/>
        </w:docPartObj>
      </w:sdtPr>
      <w:sdtEndPr>
        <w:rPr>
          <w:b w:val="0"/>
          <w:bCs w:val="0"/>
          <w:color w:val="auto"/>
          <w:kern w:val="0"/>
          <w:sz w:val="16"/>
          <w:szCs w:val="24"/>
          <w:highlight w:val="none"/>
          <w:lang w:val="zh-CN"/>
        </w:rPr>
      </w:sdtEndPr>
      <w:sdtContent>
        <w:p w14:paraId="37BACDF3">
          <w:pPr>
            <w:pStyle w:val="101"/>
            <w:jc w:val="center"/>
            <w:rPr>
              <w:color w:val="auto"/>
              <w:highlight w:val="none"/>
            </w:rPr>
          </w:pPr>
          <w:r>
            <w:rPr>
              <w:color w:val="auto"/>
              <w:highlight w:val="none"/>
              <w:lang w:val="zh-CN"/>
            </w:rPr>
            <w:t>目</w:t>
          </w:r>
          <w:r>
            <w:rPr>
              <w:rFonts w:hint="eastAsia"/>
              <w:color w:val="auto"/>
              <w:highlight w:val="none"/>
              <w:lang w:val="zh-CN"/>
            </w:rPr>
            <w:t xml:space="preserve">    </w:t>
          </w:r>
          <w:r>
            <w:rPr>
              <w:color w:val="auto"/>
              <w:highlight w:val="none"/>
              <w:lang w:val="zh-CN"/>
            </w:rPr>
            <w:t>录</w:t>
          </w:r>
        </w:p>
        <w:p w14:paraId="727BCEB8">
          <w:pPr>
            <w:pStyle w:val="27"/>
            <w:tabs>
              <w:tab w:val="right" w:leader="dot" w:pos="8306"/>
              <w:tab w:val="clear" w:pos="8296"/>
            </w:tabs>
            <w:rPr>
              <w:color w:val="auto"/>
              <w:highlight w:val="none"/>
            </w:rPr>
          </w:pPr>
          <w:r>
            <w:rPr>
              <w:color w:val="auto"/>
              <w:sz w:val="22"/>
              <w:highlight w:val="none"/>
            </w:rPr>
            <w:fldChar w:fldCharType="begin"/>
          </w:r>
          <w:r>
            <w:rPr>
              <w:color w:val="auto"/>
              <w:sz w:val="22"/>
              <w:highlight w:val="none"/>
            </w:rPr>
            <w:instrText xml:space="preserve"> TOC \o "1-3" \h \z \u </w:instrText>
          </w:r>
          <w:r>
            <w:rPr>
              <w:color w:val="auto"/>
              <w:sz w:val="22"/>
              <w:highlight w:val="none"/>
            </w:rPr>
            <w:fldChar w:fldCharType="separate"/>
          </w:r>
          <w:r>
            <w:rPr>
              <w:color w:val="auto"/>
              <w:highlight w:val="none"/>
            </w:rPr>
            <w:fldChar w:fldCharType="begin"/>
          </w:r>
          <w:r>
            <w:rPr>
              <w:color w:val="auto"/>
              <w:highlight w:val="none"/>
            </w:rPr>
            <w:instrText xml:space="preserve"> HYPERLINK \l "_Toc14593" </w:instrText>
          </w:r>
          <w:r>
            <w:rPr>
              <w:color w:val="auto"/>
              <w:highlight w:val="none"/>
            </w:rPr>
            <w:fldChar w:fldCharType="separate"/>
          </w:r>
          <w:r>
            <w:rPr>
              <w:rFonts w:ascii="仿宋" w:hAnsi="仿宋" w:eastAsia="仿宋"/>
              <w:bCs/>
              <w:color w:val="auto"/>
              <w:szCs w:val="32"/>
              <w:highlight w:val="none"/>
            </w:rPr>
            <w:t>第一章</w:t>
          </w:r>
          <w:r>
            <w:rPr>
              <w:rFonts w:hint="eastAsia" w:ascii="仿宋" w:hAnsi="仿宋" w:eastAsia="仿宋"/>
              <w:bCs/>
              <w:color w:val="auto"/>
              <w:szCs w:val="32"/>
              <w:highlight w:val="none"/>
            </w:rPr>
            <w:t xml:space="preserve"> </w:t>
          </w:r>
          <w:r>
            <w:rPr>
              <w:rFonts w:ascii="仿宋" w:hAnsi="仿宋" w:eastAsia="仿宋"/>
              <w:bCs/>
              <w:color w:val="auto"/>
              <w:szCs w:val="32"/>
              <w:highlight w:val="none"/>
            </w:rPr>
            <w:t xml:space="preserve"> </w:t>
          </w:r>
          <w:r>
            <w:rPr>
              <w:rFonts w:hint="eastAsia" w:ascii="仿宋" w:hAnsi="仿宋" w:eastAsia="仿宋"/>
              <w:bCs/>
              <w:color w:val="auto"/>
              <w:szCs w:val="32"/>
              <w:highlight w:val="none"/>
            </w:rPr>
            <w:t>总则</w:t>
          </w:r>
          <w:r>
            <w:rPr>
              <w:color w:val="auto"/>
              <w:highlight w:val="none"/>
            </w:rPr>
            <w:tab/>
          </w:r>
          <w:r>
            <w:rPr>
              <w:color w:val="auto"/>
              <w:highlight w:val="none"/>
            </w:rPr>
            <w:fldChar w:fldCharType="begin"/>
          </w:r>
          <w:r>
            <w:rPr>
              <w:color w:val="auto"/>
              <w:highlight w:val="none"/>
            </w:rPr>
            <w:instrText xml:space="preserve"> PAGEREF _Toc14593 </w:instrText>
          </w:r>
          <w:r>
            <w:rPr>
              <w:color w:val="auto"/>
              <w:highlight w:val="none"/>
            </w:rPr>
            <w:fldChar w:fldCharType="separate"/>
          </w:r>
          <w:r>
            <w:rPr>
              <w:color w:val="auto"/>
              <w:highlight w:val="none"/>
            </w:rPr>
            <w:t>1</w:t>
          </w:r>
          <w:r>
            <w:rPr>
              <w:color w:val="auto"/>
              <w:highlight w:val="none"/>
            </w:rPr>
            <w:fldChar w:fldCharType="end"/>
          </w:r>
          <w:r>
            <w:rPr>
              <w:color w:val="auto"/>
              <w:highlight w:val="none"/>
            </w:rPr>
            <w:fldChar w:fldCharType="end"/>
          </w:r>
        </w:p>
        <w:p w14:paraId="2D73B309">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"_Toc9444" </w:instrText>
          </w:r>
          <w:r>
            <w:rPr>
              <w:color w:val="auto"/>
              <w:highlight w:val="none"/>
            </w:rPr>
            <w:fldChar w:fldCharType="separate"/>
          </w:r>
          <w:r>
            <w:rPr>
              <w:rFonts w:hint="eastAsia" w:ascii="仿宋" w:hAnsi="仿宋" w:eastAsia="仿宋"/>
              <w:bCs/>
              <w:color w:val="auto"/>
              <w:kern w:val="0"/>
              <w:szCs w:val="24"/>
              <w:highlight w:val="none"/>
            </w:rPr>
            <w:t xml:space="preserve">第一条 </w:t>
          </w:r>
          <w:r>
            <w:rPr>
              <w:rFonts w:ascii="仿宋" w:hAnsi="仿宋" w:eastAsia="仿宋"/>
              <w:bCs/>
              <w:color w:val="auto"/>
              <w:kern w:val="0"/>
              <w:szCs w:val="24"/>
              <w:highlight w:val="none"/>
            </w:rPr>
            <w:t xml:space="preserve"> </w:t>
          </w:r>
          <w:r>
            <w:rPr>
              <w:rFonts w:hint="eastAsia" w:ascii="仿宋" w:hAnsi="仿宋" w:eastAsia="仿宋"/>
              <w:bCs/>
              <w:color w:val="auto"/>
              <w:kern w:val="0"/>
              <w:szCs w:val="24"/>
              <w:highlight w:val="none"/>
            </w:rPr>
            <w:t>目的</w:t>
          </w:r>
          <w:r>
            <w:rPr>
              <w:color w:val="auto"/>
              <w:highlight w:val="none"/>
            </w:rPr>
            <w:tab/>
          </w:r>
          <w:r>
            <w:rPr>
              <w:color w:val="auto"/>
              <w:highlight w:val="none"/>
            </w:rPr>
            <w:fldChar w:fldCharType="begin"/>
          </w:r>
          <w:r>
            <w:rPr>
              <w:color w:val="auto"/>
              <w:highlight w:val="none"/>
            </w:rPr>
            <w:instrText xml:space="preserve"> PAGEREF _Toc9444 </w:instrText>
          </w:r>
          <w:r>
            <w:rPr>
              <w:color w:val="auto"/>
              <w:highlight w:val="none"/>
            </w:rPr>
            <w:fldChar w:fldCharType="separate"/>
          </w:r>
          <w:r>
            <w:rPr>
              <w:color w:val="auto"/>
              <w:highlight w:val="none"/>
            </w:rPr>
            <w:t>1</w:t>
          </w:r>
          <w:r>
            <w:rPr>
              <w:color w:val="auto"/>
              <w:highlight w:val="none"/>
            </w:rPr>
            <w:fldChar w:fldCharType="end"/>
          </w:r>
          <w:r>
            <w:rPr>
              <w:color w:val="auto"/>
              <w:highlight w:val="none"/>
            </w:rPr>
            <w:fldChar w:fldCharType="end"/>
          </w:r>
        </w:p>
        <w:p w14:paraId="726E8645">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"_Toc3210" </w:instrText>
          </w:r>
          <w:r>
            <w:rPr>
              <w:color w:val="auto"/>
              <w:highlight w:val="none"/>
            </w:rPr>
            <w:fldChar w:fldCharType="separate"/>
          </w:r>
          <w:r>
            <w:rPr>
              <w:rFonts w:hint="eastAsia" w:ascii="仿宋" w:hAnsi="仿宋" w:eastAsia="仿宋"/>
              <w:color w:val="auto"/>
              <w:szCs w:val="24"/>
              <w:highlight w:val="none"/>
            </w:rPr>
            <w:t>第二条  适用</w:t>
          </w:r>
          <w:r>
            <w:rPr>
              <w:rFonts w:ascii="仿宋" w:hAnsi="仿宋" w:eastAsia="仿宋"/>
              <w:color w:val="auto"/>
              <w:szCs w:val="24"/>
              <w:highlight w:val="none"/>
            </w:rPr>
            <w:t>范围</w:t>
          </w:r>
          <w:r>
            <w:rPr>
              <w:color w:val="auto"/>
              <w:highlight w:val="none"/>
            </w:rPr>
            <w:tab/>
          </w:r>
          <w:r>
            <w:rPr>
              <w:color w:val="auto"/>
              <w:highlight w:val="none"/>
            </w:rPr>
            <w:fldChar w:fldCharType="begin"/>
          </w:r>
          <w:r>
            <w:rPr>
              <w:color w:val="auto"/>
              <w:highlight w:val="none"/>
            </w:rPr>
            <w:instrText xml:space="preserve"> PAGEREF _Toc3210 </w:instrText>
          </w:r>
          <w:r>
            <w:rPr>
              <w:color w:val="auto"/>
              <w:highlight w:val="none"/>
            </w:rPr>
            <w:fldChar w:fldCharType="separate"/>
          </w:r>
          <w:r>
            <w:rPr>
              <w:color w:val="auto"/>
              <w:highlight w:val="none"/>
            </w:rPr>
            <w:t>1</w:t>
          </w:r>
          <w:r>
            <w:rPr>
              <w:color w:val="auto"/>
              <w:highlight w:val="none"/>
            </w:rPr>
            <w:fldChar w:fldCharType="end"/>
          </w:r>
          <w:r>
            <w:rPr>
              <w:color w:val="auto"/>
              <w:highlight w:val="none"/>
            </w:rPr>
            <w:fldChar w:fldCharType="end"/>
          </w:r>
        </w:p>
        <w:p w14:paraId="3850148E">
          <w:pPr>
            <w:pStyle w:val="27"/>
            <w:tabs>
              <w:tab w:val="right" w:leader="dot" w:pos="8306"/>
              <w:tab w:val="clear" w:pos="8296"/>
            </w:tabs>
            <w:rPr>
              <w:color w:val="auto"/>
              <w:highlight w:val="none"/>
            </w:rPr>
          </w:pPr>
          <w:r>
            <w:rPr>
              <w:color w:val="auto"/>
              <w:highlight w:val="none"/>
            </w:rPr>
            <w:fldChar w:fldCharType="begin"/>
          </w:r>
          <w:r>
            <w:rPr>
              <w:color w:val="auto"/>
              <w:highlight w:val="none"/>
            </w:rPr>
            <w:instrText xml:space="preserve"> HYPERLINK \l "_Toc3674" </w:instrText>
          </w:r>
          <w:r>
            <w:rPr>
              <w:color w:val="auto"/>
              <w:highlight w:val="none"/>
            </w:rPr>
            <w:fldChar w:fldCharType="separate"/>
          </w:r>
          <w:r>
            <w:rPr>
              <w:rFonts w:ascii="仿宋" w:hAnsi="仿宋" w:eastAsia="仿宋"/>
              <w:bCs/>
              <w:color w:val="auto"/>
              <w:szCs w:val="32"/>
              <w:highlight w:val="none"/>
            </w:rPr>
            <w:t>第</w:t>
          </w:r>
          <w:r>
            <w:rPr>
              <w:rFonts w:hint="eastAsia" w:ascii="仿宋" w:hAnsi="仿宋" w:eastAsia="仿宋"/>
              <w:bCs/>
              <w:color w:val="auto"/>
              <w:szCs w:val="32"/>
              <w:highlight w:val="none"/>
            </w:rPr>
            <w:t>二</w:t>
          </w:r>
          <w:r>
            <w:rPr>
              <w:rFonts w:ascii="仿宋" w:hAnsi="仿宋" w:eastAsia="仿宋"/>
              <w:bCs/>
              <w:color w:val="auto"/>
              <w:szCs w:val="32"/>
              <w:highlight w:val="none"/>
            </w:rPr>
            <w:t>章</w:t>
          </w:r>
          <w:r>
            <w:rPr>
              <w:rFonts w:hint="eastAsia" w:ascii="仿宋" w:hAnsi="仿宋" w:eastAsia="仿宋"/>
              <w:bCs/>
              <w:color w:val="auto"/>
              <w:szCs w:val="32"/>
              <w:highlight w:val="none"/>
            </w:rPr>
            <w:t xml:space="preserve"> </w:t>
          </w:r>
          <w:r>
            <w:rPr>
              <w:rFonts w:ascii="仿宋" w:hAnsi="仿宋" w:eastAsia="仿宋"/>
              <w:bCs/>
              <w:color w:val="auto"/>
              <w:szCs w:val="32"/>
              <w:highlight w:val="none"/>
            </w:rPr>
            <w:t xml:space="preserve"> </w:t>
          </w:r>
          <w:r>
            <w:rPr>
              <w:rFonts w:hint="eastAsia" w:ascii="仿宋" w:hAnsi="仿宋" w:eastAsia="仿宋"/>
              <w:bCs/>
              <w:color w:val="auto"/>
              <w:szCs w:val="32"/>
              <w:highlight w:val="none"/>
            </w:rPr>
            <w:t>现场管理规定</w:t>
          </w:r>
          <w:r>
            <w:rPr>
              <w:color w:val="auto"/>
              <w:highlight w:val="none"/>
            </w:rPr>
            <w:tab/>
          </w:r>
          <w:r>
            <w:rPr>
              <w:color w:val="auto"/>
              <w:highlight w:val="none"/>
            </w:rPr>
            <w:fldChar w:fldCharType="begin"/>
          </w:r>
          <w:r>
            <w:rPr>
              <w:color w:val="auto"/>
              <w:highlight w:val="none"/>
            </w:rPr>
            <w:instrText xml:space="preserve"> PAGEREF _Toc3674 </w:instrText>
          </w:r>
          <w:r>
            <w:rPr>
              <w:color w:val="auto"/>
              <w:highlight w:val="none"/>
            </w:rPr>
            <w:fldChar w:fldCharType="separate"/>
          </w:r>
          <w:r>
            <w:rPr>
              <w:color w:val="auto"/>
              <w:highlight w:val="none"/>
            </w:rPr>
            <w:t>1</w:t>
          </w:r>
          <w:r>
            <w:rPr>
              <w:color w:val="auto"/>
              <w:highlight w:val="none"/>
            </w:rPr>
            <w:fldChar w:fldCharType="end"/>
          </w:r>
          <w:r>
            <w:rPr>
              <w:color w:val="auto"/>
              <w:highlight w:val="none"/>
            </w:rPr>
            <w:fldChar w:fldCharType="end"/>
          </w:r>
        </w:p>
        <w:p w14:paraId="56E2332E">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"_Toc28305" </w:instrText>
          </w:r>
          <w:r>
            <w:rPr>
              <w:color w:val="auto"/>
              <w:highlight w:val="none"/>
            </w:rPr>
            <w:fldChar w:fldCharType="separate"/>
          </w:r>
          <w:r>
            <w:rPr>
              <w:rFonts w:hint="eastAsia" w:ascii="仿宋" w:hAnsi="仿宋" w:eastAsia="仿宋"/>
              <w:bCs/>
              <w:color w:val="auto"/>
              <w:kern w:val="0"/>
              <w:szCs w:val="24"/>
              <w:highlight w:val="none"/>
            </w:rPr>
            <w:t xml:space="preserve">第一条 </w:t>
          </w:r>
          <w:r>
            <w:rPr>
              <w:rFonts w:ascii="仿宋" w:hAnsi="仿宋" w:eastAsia="仿宋"/>
              <w:bCs/>
              <w:color w:val="auto"/>
              <w:kern w:val="0"/>
              <w:szCs w:val="24"/>
              <w:highlight w:val="none"/>
            </w:rPr>
            <w:t xml:space="preserve"> </w:t>
          </w:r>
          <w:r>
            <w:rPr>
              <w:rFonts w:hint="eastAsia" w:ascii="仿宋" w:hAnsi="仿宋" w:eastAsia="仿宋"/>
              <w:bCs/>
              <w:color w:val="auto"/>
              <w:kern w:val="0"/>
              <w:szCs w:val="24"/>
              <w:highlight w:val="none"/>
            </w:rPr>
            <w:t>会议方面</w:t>
          </w:r>
          <w:r>
            <w:rPr>
              <w:color w:val="auto"/>
              <w:highlight w:val="none"/>
            </w:rPr>
            <w:tab/>
          </w:r>
          <w:r>
            <w:rPr>
              <w:color w:val="auto"/>
              <w:highlight w:val="none"/>
            </w:rPr>
            <w:fldChar w:fldCharType="begin"/>
          </w:r>
          <w:r>
            <w:rPr>
              <w:color w:val="auto"/>
              <w:highlight w:val="none"/>
            </w:rPr>
            <w:instrText xml:space="preserve"> PAGEREF _Toc28305 </w:instrText>
          </w:r>
          <w:r>
            <w:rPr>
              <w:color w:val="auto"/>
              <w:highlight w:val="none"/>
            </w:rPr>
            <w:fldChar w:fldCharType="separate"/>
          </w:r>
          <w:r>
            <w:rPr>
              <w:color w:val="auto"/>
              <w:highlight w:val="none"/>
            </w:rPr>
            <w:t>1</w:t>
          </w:r>
          <w:r>
            <w:rPr>
              <w:color w:val="auto"/>
              <w:highlight w:val="none"/>
            </w:rPr>
            <w:fldChar w:fldCharType="end"/>
          </w:r>
          <w:r>
            <w:rPr>
              <w:color w:val="auto"/>
              <w:highlight w:val="none"/>
            </w:rPr>
            <w:fldChar w:fldCharType="end"/>
          </w:r>
        </w:p>
        <w:p w14:paraId="05169780">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"_Toc11561" </w:instrText>
          </w:r>
          <w:r>
            <w:rPr>
              <w:color w:val="auto"/>
              <w:highlight w:val="none"/>
            </w:rPr>
            <w:fldChar w:fldCharType="separate"/>
          </w:r>
          <w:r>
            <w:rPr>
              <w:rFonts w:hint="eastAsia" w:ascii="仿宋" w:hAnsi="仿宋" w:eastAsia="仿宋"/>
              <w:bCs/>
              <w:color w:val="auto"/>
              <w:kern w:val="0"/>
              <w:szCs w:val="24"/>
              <w:highlight w:val="none"/>
            </w:rPr>
            <w:t xml:space="preserve">第二条 </w:t>
          </w:r>
          <w:r>
            <w:rPr>
              <w:rFonts w:ascii="仿宋" w:hAnsi="仿宋" w:eastAsia="仿宋"/>
              <w:bCs/>
              <w:color w:val="auto"/>
              <w:kern w:val="0"/>
              <w:szCs w:val="24"/>
              <w:highlight w:val="none"/>
            </w:rPr>
            <w:t xml:space="preserve"> </w:t>
          </w:r>
          <w:r>
            <w:rPr>
              <w:rFonts w:hint="eastAsia" w:ascii="仿宋" w:hAnsi="仿宋" w:eastAsia="仿宋"/>
              <w:bCs/>
              <w:color w:val="auto"/>
              <w:kern w:val="0"/>
              <w:szCs w:val="24"/>
              <w:highlight w:val="none"/>
            </w:rPr>
            <w:t>进度方面</w:t>
          </w:r>
          <w:r>
            <w:rPr>
              <w:color w:val="auto"/>
              <w:highlight w:val="none"/>
            </w:rPr>
            <w:tab/>
          </w:r>
          <w:r>
            <w:rPr>
              <w:color w:val="auto"/>
              <w:highlight w:val="none"/>
            </w:rPr>
            <w:fldChar w:fldCharType="begin"/>
          </w:r>
          <w:r>
            <w:rPr>
              <w:color w:val="auto"/>
              <w:highlight w:val="none"/>
            </w:rPr>
            <w:instrText xml:space="preserve"> PAGEREF _Toc11561 </w:instrText>
          </w:r>
          <w:r>
            <w:rPr>
              <w:color w:val="auto"/>
              <w:highlight w:val="none"/>
            </w:rPr>
            <w:fldChar w:fldCharType="separate"/>
          </w:r>
          <w:r>
            <w:rPr>
              <w:color w:val="auto"/>
              <w:highlight w:val="none"/>
            </w:rPr>
            <w:t>1</w:t>
          </w:r>
          <w:r>
            <w:rPr>
              <w:color w:val="auto"/>
              <w:highlight w:val="none"/>
            </w:rPr>
            <w:fldChar w:fldCharType="end"/>
          </w:r>
          <w:r>
            <w:rPr>
              <w:color w:val="auto"/>
              <w:highlight w:val="none"/>
            </w:rPr>
            <w:fldChar w:fldCharType="end"/>
          </w:r>
        </w:p>
        <w:p w14:paraId="277D8BFB">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"_Toc25370" </w:instrText>
          </w:r>
          <w:r>
            <w:rPr>
              <w:color w:val="auto"/>
              <w:highlight w:val="none"/>
            </w:rPr>
            <w:fldChar w:fldCharType="separate"/>
          </w:r>
          <w:r>
            <w:rPr>
              <w:rFonts w:hint="eastAsia" w:ascii="仿宋" w:hAnsi="仿宋" w:eastAsia="仿宋"/>
              <w:bCs/>
              <w:color w:val="auto"/>
              <w:kern w:val="0"/>
              <w:szCs w:val="24"/>
              <w:highlight w:val="none"/>
            </w:rPr>
            <w:t xml:space="preserve">第三条 </w:t>
          </w:r>
          <w:r>
            <w:rPr>
              <w:rFonts w:ascii="仿宋" w:hAnsi="仿宋" w:eastAsia="仿宋"/>
              <w:bCs/>
              <w:color w:val="auto"/>
              <w:kern w:val="0"/>
              <w:szCs w:val="24"/>
              <w:highlight w:val="none"/>
            </w:rPr>
            <w:t xml:space="preserve"> </w:t>
          </w:r>
          <w:r>
            <w:rPr>
              <w:rFonts w:hint="eastAsia" w:ascii="仿宋" w:hAnsi="仿宋" w:eastAsia="仿宋"/>
              <w:bCs/>
              <w:color w:val="auto"/>
              <w:kern w:val="0"/>
              <w:szCs w:val="24"/>
              <w:highlight w:val="none"/>
            </w:rPr>
            <w:t>质量方面</w:t>
          </w:r>
          <w:r>
            <w:rPr>
              <w:color w:val="auto"/>
              <w:highlight w:val="none"/>
            </w:rPr>
            <w:tab/>
          </w:r>
          <w:r>
            <w:rPr>
              <w:color w:val="auto"/>
              <w:highlight w:val="none"/>
            </w:rPr>
            <w:fldChar w:fldCharType="begin"/>
          </w:r>
          <w:r>
            <w:rPr>
              <w:color w:val="auto"/>
              <w:highlight w:val="none"/>
            </w:rPr>
            <w:instrText xml:space="preserve"> PAGEREF _Toc25370 </w:instrText>
          </w:r>
          <w:r>
            <w:rPr>
              <w:color w:val="auto"/>
              <w:highlight w:val="none"/>
            </w:rPr>
            <w:fldChar w:fldCharType="separate"/>
          </w:r>
          <w:r>
            <w:rPr>
              <w:color w:val="auto"/>
              <w:highlight w:val="none"/>
            </w:rPr>
            <w:t>2</w:t>
          </w:r>
          <w:r>
            <w:rPr>
              <w:color w:val="auto"/>
              <w:highlight w:val="none"/>
            </w:rPr>
            <w:fldChar w:fldCharType="end"/>
          </w:r>
          <w:r>
            <w:rPr>
              <w:color w:val="auto"/>
              <w:highlight w:val="none"/>
            </w:rPr>
            <w:fldChar w:fldCharType="end"/>
          </w:r>
        </w:p>
        <w:p w14:paraId="17917BE3">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"_Toc32205" </w:instrText>
          </w:r>
          <w:r>
            <w:rPr>
              <w:color w:val="auto"/>
              <w:highlight w:val="none"/>
            </w:rPr>
            <w:fldChar w:fldCharType="separate"/>
          </w:r>
          <w:r>
            <w:rPr>
              <w:rFonts w:hint="eastAsia" w:ascii="仿宋" w:hAnsi="仿宋" w:eastAsia="仿宋"/>
              <w:bCs/>
              <w:color w:val="auto"/>
              <w:kern w:val="0"/>
              <w:szCs w:val="24"/>
              <w:highlight w:val="none"/>
            </w:rPr>
            <w:t xml:space="preserve">第四条 </w:t>
          </w:r>
          <w:r>
            <w:rPr>
              <w:rFonts w:ascii="仿宋" w:hAnsi="仿宋" w:eastAsia="仿宋"/>
              <w:bCs/>
              <w:color w:val="auto"/>
              <w:kern w:val="0"/>
              <w:szCs w:val="24"/>
              <w:highlight w:val="none"/>
            </w:rPr>
            <w:t xml:space="preserve"> 安全文明</w:t>
          </w:r>
          <w:r>
            <w:rPr>
              <w:rFonts w:hint="eastAsia" w:ascii="仿宋" w:hAnsi="仿宋" w:eastAsia="仿宋"/>
              <w:bCs/>
              <w:color w:val="auto"/>
              <w:kern w:val="0"/>
              <w:szCs w:val="24"/>
              <w:highlight w:val="none"/>
            </w:rPr>
            <w:t>方面</w:t>
          </w:r>
          <w:r>
            <w:rPr>
              <w:color w:val="auto"/>
              <w:highlight w:val="none"/>
            </w:rPr>
            <w:tab/>
          </w:r>
          <w:r>
            <w:rPr>
              <w:color w:val="auto"/>
              <w:highlight w:val="none"/>
            </w:rPr>
            <w:fldChar w:fldCharType="begin"/>
          </w:r>
          <w:r>
            <w:rPr>
              <w:color w:val="auto"/>
              <w:highlight w:val="none"/>
            </w:rPr>
            <w:instrText xml:space="preserve"> PAGEREF _Toc32205 </w:instrText>
          </w:r>
          <w:r>
            <w:rPr>
              <w:color w:val="auto"/>
              <w:highlight w:val="none"/>
            </w:rPr>
            <w:fldChar w:fldCharType="separate"/>
          </w:r>
          <w:r>
            <w:rPr>
              <w:color w:val="auto"/>
              <w:highlight w:val="none"/>
            </w:rPr>
            <w:t>9</w:t>
          </w:r>
          <w:r>
            <w:rPr>
              <w:color w:val="auto"/>
              <w:highlight w:val="none"/>
            </w:rPr>
            <w:fldChar w:fldCharType="end"/>
          </w:r>
          <w:r>
            <w:rPr>
              <w:color w:val="auto"/>
              <w:highlight w:val="none"/>
            </w:rPr>
            <w:fldChar w:fldCharType="end"/>
          </w:r>
        </w:p>
        <w:p w14:paraId="19D8ADDD">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"_Toc786" </w:instrText>
          </w:r>
          <w:r>
            <w:rPr>
              <w:color w:val="auto"/>
              <w:highlight w:val="none"/>
            </w:rPr>
            <w:fldChar w:fldCharType="separate"/>
          </w:r>
          <w:r>
            <w:rPr>
              <w:rFonts w:hint="eastAsia" w:ascii="仿宋" w:hAnsi="仿宋" w:eastAsia="仿宋"/>
              <w:bCs/>
              <w:color w:val="auto"/>
              <w:kern w:val="0"/>
              <w:szCs w:val="24"/>
              <w:highlight w:val="none"/>
            </w:rPr>
            <w:t>第五条</w:t>
          </w:r>
          <w:r>
            <w:rPr>
              <w:rFonts w:hint="eastAsia"/>
              <w:color w:val="auto"/>
              <w:highlight w:val="none"/>
            </w:rPr>
            <w:t xml:space="preserve"> </w:t>
          </w:r>
          <w:r>
            <w:rPr>
              <w:rFonts w:hint="eastAsia" w:ascii="仿宋" w:hAnsi="仿宋" w:eastAsia="仿宋"/>
              <w:bCs/>
              <w:color w:val="auto"/>
              <w:kern w:val="0"/>
              <w:szCs w:val="24"/>
              <w:highlight w:val="none"/>
            </w:rPr>
            <w:t>成品保护管理</w:t>
          </w:r>
          <w:r>
            <w:rPr>
              <w:color w:val="auto"/>
              <w:highlight w:val="none"/>
            </w:rPr>
            <w:tab/>
          </w:r>
          <w:r>
            <w:rPr>
              <w:color w:val="auto"/>
              <w:highlight w:val="none"/>
            </w:rPr>
            <w:fldChar w:fldCharType="begin"/>
          </w:r>
          <w:r>
            <w:rPr>
              <w:color w:val="auto"/>
              <w:highlight w:val="none"/>
            </w:rPr>
            <w:instrText xml:space="preserve"> PAGEREF _Toc786 </w:instrText>
          </w:r>
          <w:r>
            <w:rPr>
              <w:color w:val="auto"/>
              <w:highlight w:val="none"/>
            </w:rPr>
            <w:fldChar w:fldCharType="separate"/>
          </w:r>
          <w:r>
            <w:rPr>
              <w:color w:val="auto"/>
              <w:highlight w:val="none"/>
            </w:rPr>
            <w:t>16</w:t>
          </w:r>
          <w:r>
            <w:rPr>
              <w:color w:val="auto"/>
              <w:highlight w:val="none"/>
            </w:rPr>
            <w:fldChar w:fldCharType="end"/>
          </w:r>
          <w:r>
            <w:rPr>
              <w:color w:val="auto"/>
              <w:highlight w:val="none"/>
            </w:rPr>
            <w:fldChar w:fldCharType="end"/>
          </w:r>
        </w:p>
        <w:p w14:paraId="4C1F6C0C">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"_Toc4695" </w:instrText>
          </w:r>
          <w:r>
            <w:rPr>
              <w:color w:val="auto"/>
              <w:highlight w:val="none"/>
            </w:rPr>
            <w:fldChar w:fldCharType="separate"/>
          </w:r>
          <w:r>
            <w:rPr>
              <w:rFonts w:hint="eastAsia" w:ascii="仿宋" w:hAnsi="仿宋" w:eastAsia="仿宋"/>
              <w:bCs/>
              <w:color w:val="auto"/>
              <w:kern w:val="0"/>
              <w:szCs w:val="24"/>
              <w:highlight w:val="none"/>
            </w:rPr>
            <w:t>第六条</w:t>
          </w:r>
          <w:r>
            <w:rPr>
              <w:rFonts w:ascii="仿宋" w:hAnsi="仿宋" w:eastAsia="仿宋"/>
              <w:bCs/>
              <w:color w:val="auto"/>
              <w:kern w:val="0"/>
              <w:szCs w:val="24"/>
              <w:highlight w:val="none"/>
            </w:rPr>
            <w:t xml:space="preserve">  </w:t>
          </w:r>
          <w:r>
            <w:rPr>
              <w:rFonts w:hint="eastAsia" w:ascii="仿宋" w:hAnsi="仿宋" w:eastAsia="仿宋"/>
              <w:bCs/>
              <w:color w:val="auto"/>
              <w:kern w:val="0"/>
              <w:szCs w:val="24"/>
              <w:highlight w:val="none"/>
            </w:rPr>
            <w:t>现场其它施工要求</w:t>
          </w:r>
          <w:r>
            <w:rPr>
              <w:color w:val="auto"/>
              <w:highlight w:val="none"/>
            </w:rPr>
            <w:tab/>
          </w:r>
          <w:r>
            <w:rPr>
              <w:color w:val="auto"/>
              <w:highlight w:val="none"/>
            </w:rPr>
            <w:fldChar w:fldCharType="begin"/>
          </w:r>
          <w:r>
            <w:rPr>
              <w:color w:val="auto"/>
              <w:highlight w:val="none"/>
            </w:rPr>
            <w:instrText xml:space="preserve"> PAGEREF _Toc4695 </w:instrText>
          </w:r>
          <w:r>
            <w:rPr>
              <w:color w:val="auto"/>
              <w:highlight w:val="none"/>
            </w:rPr>
            <w:fldChar w:fldCharType="separate"/>
          </w:r>
          <w:r>
            <w:rPr>
              <w:color w:val="auto"/>
              <w:highlight w:val="none"/>
            </w:rPr>
            <w:t>17</w:t>
          </w:r>
          <w:r>
            <w:rPr>
              <w:color w:val="auto"/>
              <w:highlight w:val="none"/>
            </w:rPr>
            <w:fldChar w:fldCharType="end"/>
          </w:r>
          <w:r>
            <w:rPr>
              <w:color w:val="auto"/>
              <w:highlight w:val="none"/>
            </w:rPr>
            <w:fldChar w:fldCharType="end"/>
          </w:r>
        </w:p>
        <w:p w14:paraId="0D650FF5">
          <w:pPr>
            <w:pStyle w:val="27"/>
            <w:tabs>
              <w:tab w:val="right" w:leader="dot" w:pos="8306"/>
              <w:tab w:val="clear" w:pos="8296"/>
            </w:tabs>
            <w:rPr>
              <w:color w:val="auto"/>
              <w:highlight w:val="none"/>
            </w:rPr>
          </w:pPr>
          <w:r>
            <w:rPr>
              <w:color w:val="auto"/>
              <w:highlight w:val="none"/>
            </w:rPr>
            <w:fldChar w:fldCharType="begin"/>
          </w:r>
          <w:r>
            <w:rPr>
              <w:color w:val="auto"/>
              <w:highlight w:val="none"/>
            </w:rPr>
            <w:instrText xml:space="preserve"> HYPERLINK \l "_Toc27063" </w:instrText>
          </w:r>
          <w:r>
            <w:rPr>
              <w:color w:val="auto"/>
              <w:highlight w:val="none"/>
            </w:rPr>
            <w:fldChar w:fldCharType="separate"/>
          </w:r>
          <w:r>
            <w:rPr>
              <w:rFonts w:ascii="仿宋" w:hAnsi="仿宋" w:eastAsia="仿宋"/>
              <w:bCs/>
              <w:color w:val="auto"/>
              <w:szCs w:val="32"/>
              <w:highlight w:val="none"/>
            </w:rPr>
            <w:t>第</w:t>
          </w:r>
          <w:r>
            <w:rPr>
              <w:rFonts w:hint="eastAsia" w:ascii="仿宋" w:hAnsi="仿宋" w:eastAsia="仿宋"/>
              <w:bCs/>
              <w:color w:val="auto"/>
              <w:szCs w:val="32"/>
              <w:highlight w:val="none"/>
            </w:rPr>
            <w:t>三</w:t>
          </w:r>
          <w:r>
            <w:rPr>
              <w:rFonts w:ascii="仿宋" w:hAnsi="仿宋" w:eastAsia="仿宋"/>
              <w:bCs/>
              <w:color w:val="auto"/>
              <w:szCs w:val="32"/>
              <w:highlight w:val="none"/>
            </w:rPr>
            <w:t>章</w:t>
          </w:r>
          <w:r>
            <w:rPr>
              <w:rFonts w:hint="eastAsia" w:ascii="仿宋" w:hAnsi="仿宋" w:eastAsia="仿宋"/>
              <w:bCs/>
              <w:color w:val="auto"/>
              <w:szCs w:val="32"/>
              <w:highlight w:val="none"/>
            </w:rPr>
            <w:t xml:space="preserve"> </w:t>
          </w:r>
          <w:r>
            <w:rPr>
              <w:rFonts w:ascii="仿宋" w:hAnsi="仿宋" w:eastAsia="仿宋"/>
              <w:bCs/>
              <w:color w:val="auto"/>
              <w:szCs w:val="32"/>
              <w:highlight w:val="none"/>
            </w:rPr>
            <w:t xml:space="preserve"> 奖罚细则</w:t>
          </w:r>
          <w:r>
            <w:rPr>
              <w:color w:val="auto"/>
              <w:highlight w:val="none"/>
            </w:rPr>
            <w:tab/>
          </w:r>
          <w:r>
            <w:rPr>
              <w:color w:val="auto"/>
              <w:highlight w:val="none"/>
            </w:rPr>
            <w:fldChar w:fldCharType="begin"/>
          </w:r>
          <w:r>
            <w:rPr>
              <w:color w:val="auto"/>
              <w:highlight w:val="none"/>
            </w:rPr>
            <w:instrText xml:space="preserve"> PAGEREF _Toc27063 </w:instrText>
          </w:r>
          <w:r>
            <w:rPr>
              <w:color w:val="auto"/>
              <w:highlight w:val="none"/>
            </w:rPr>
            <w:fldChar w:fldCharType="separate"/>
          </w:r>
          <w:r>
            <w:rPr>
              <w:color w:val="auto"/>
              <w:highlight w:val="none"/>
            </w:rPr>
            <w:t>19</w:t>
          </w:r>
          <w:r>
            <w:rPr>
              <w:color w:val="auto"/>
              <w:highlight w:val="none"/>
            </w:rPr>
            <w:fldChar w:fldCharType="end"/>
          </w:r>
          <w:r>
            <w:rPr>
              <w:color w:val="auto"/>
              <w:highlight w:val="none"/>
            </w:rPr>
            <w:fldChar w:fldCharType="end"/>
          </w:r>
        </w:p>
        <w:p w14:paraId="7A7F368F">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"_Toc27836" </w:instrText>
          </w:r>
          <w:r>
            <w:rPr>
              <w:color w:val="auto"/>
              <w:highlight w:val="none"/>
            </w:rPr>
            <w:fldChar w:fldCharType="separate"/>
          </w:r>
          <w:r>
            <w:rPr>
              <w:rFonts w:hint="eastAsia" w:ascii="仿宋" w:hAnsi="仿宋" w:eastAsia="仿宋"/>
              <w:bCs/>
              <w:color w:val="auto"/>
              <w:kern w:val="0"/>
              <w:szCs w:val="24"/>
              <w:highlight w:val="none"/>
            </w:rPr>
            <w:t xml:space="preserve">第一条 </w:t>
          </w:r>
          <w:r>
            <w:rPr>
              <w:rFonts w:ascii="仿宋" w:hAnsi="仿宋" w:eastAsia="仿宋"/>
              <w:bCs/>
              <w:color w:val="auto"/>
              <w:kern w:val="0"/>
              <w:szCs w:val="24"/>
              <w:highlight w:val="none"/>
            </w:rPr>
            <w:t xml:space="preserve"> </w:t>
          </w:r>
          <w:r>
            <w:rPr>
              <w:rFonts w:hint="eastAsia" w:ascii="仿宋" w:hAnsi="仿宋" w:eastAsia="仿宋"/>
              <w:bCs/>
              <w:color w:val="auto"/>
              <w:kern w:val="0"/>
              <w:szCs w:val="24"/>
              <w:highlight w:val="none"/>
            </w:rPr>
            <w:t>管理方面</w:t>
          </w:r>
          <w:r>
            <w:rPr>
              <w:color w:val="auto"/>
              <w:highlight w:val="none"/>
            </w:rPr>
            <w:tab/>
          </w:r>
          <w:r>
            <w:rPr>
              <w:color w:val="auto"/>
              <w:highlight w:val="none"/>
            </w:rPr>
            <w:fldChar w:fldCharType="begin"/>
          </w:r>
          <w:r>
            <w:rPr>
              <w:color w:val="auto"/>
              <w:highlight w:val="none"/>
            </w:rPr>
            <w:instrText xml:space="preserve"> PAGEREF _Toc27836 </w:instrText>
          </w:r>
          <w:r>
            <w:rPr>
              <w:color w:val="auto"/>
              <w:highlight w:val="none"/>
            </w:rPr>
            <w:fldChar w:fldCharType="separate"/>
          </w:r>
          <w:r>
            <w:rPr>
              <w:color w:val="auto"/>
              <w:highlight w:val="none"/>
            </w:rPr>
            <w:t>19</w:t>
          </w:r>
          <w:r>
            <w:rPr>
              <w:color w:val="auto"/>
              <w:highlight w:val="none"/>
            </w:rPr>
            <w:fldChar w:fldCharType="end"/>
          </w:r>
          <w:r>
            <w:rPr>
              <w:color w:val="auto"/>
              <w:highlight w:val="none"/>
            </w:rPr>
            <w:fldChar w:fldCharType="end"/>
          </w:r>
        </w:p>
        <w:p w14:paraId="4E414378">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"_Toc15921" </w:instrText>
          </w:r>
          <w:r>
            <w:rPr>
              <w:color w:val="auto"/>
              <w:highlight w:val="none"/>
            </w:rPr>
            <w:fldChar w:fldCharType="separate"/>
          </w:r>
          <w:r>
            <w:rPr>
              <w:rFonts w:hint="eastAsia" w:ascii="仿宋" w:hAnsi="仿宋" w:eastAsia="仿宋"/>
              <w:bCs/>
              <w:color w:val="auto"/>
              <w:kern w:val="0"/>
              <w:szCs w:val="24"/>
              <w:highlight w:val="none"/>
            </w:rPr>
            <w:t xml:space="preserve">第二条 </w:t>
          </w:r>
          <w:r>
            <w:rPr>
              <w:rFonts w:ascii="仿宋" w:hAnsi="仿宋" w:eastAsia="仿宋"/>
              <w:bCs/>
              <w:color w:val="auto"/>
              <w:kern w:val="0"/>
              <w:szCs w:val="24"/>
              <w:highlight w:val="none"/>
            </w:rPr>
            <w:t xml:space="preserve"> </w:t>
          </w:r>
          <w:r>
            <w:rPr>
              <w:rFonts w:hint="eastAsia" w:ascii="仿宋" w:hAnsi="仿宋" w:eastAsia="仿宋"/>
              <w:bCs/>
              <w:color w:val="auto"/>
              <w:kern w:val="0"/>
              <w:szCs w:val="24"/>
              <w:highlight w:val="none"/>
            </w:rPr>
            <w:t>质量方面</w:t>
          </w:r>
          <w:r>
            <w:rPr>
              <w:color w:val="auto"/>
              <w:highlight w:val="none"/>
            </w:rPr>
            <w:tab/>
          </w:r>
          <w:r>
            <w:rPr>
              <w:color w:val="auto"/>
              <w:highlight w:val="none"/>
            </w:rPr>
            <w:fldChar w:fldCharType="begin"/>
          </w:r>
          <w:r>
            <w:rPr>
              <w:color w:val="auto"/>
              <w:highlight w:val="none"/>
            </w:rPr>
            <w:instrText xml:space="preserve"> PAGEREF _Toc15921 </w:instrText>
          </w:r>
          <w:r>
            <w:rPr>
              <w:color w:val="auto"/>
              <w:highlight w:val="none"/>
            </w:rPr>
            <w:fldChar w:fldCharType="separate"/>
          </w:r>
          <w:r>
            <w:rPr>
              <w:color w:val="auto"/>
              <w:highlight w:val="none"/>
            </w:rPr>
            <w:t>21</w:t>
          </w:r>
          <w:r>
            <w:rPr>
              <w:color w:val="auto"/>
              <w:highlight w:val="none"/>
            </w:rPr>
            <w:fldChar w:fldCharType="end"/>
          </w:r>
          <w:r>
            <w:rPr>
              <w:color w:val="auto"/>
              <w:highlight w:val="none"/>
            </w:rPr>
            <w:fldChar w:fldCharType="end"/>
          </w:r>
        </w:p>
        <w:p w14:paraId="1AC3A599">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"_Toc6268" </w:instrText>
          </w:r>
          <w:r>
            <w:rPr>
              <w:color w:val="auto"/>
              <w:highlight w:val="none"/>
            </w:rPr>
            <w:fldChar w:fldCharType="separate"/>
          </w:r>
          <w:r>
            <w:rPr>
              <w:rFonts w:hint="eastAsia" w:ascii="仿宋" w:hAnsi="仿宋" w:eastAsia="仿宋"/>
              <w:bCs/>
              <w:color w:val="auto"/>
              <w:kern w:val="0"/>
              <w:szCs w:val="24"/>
              <w:highlight w:val="none"/>
            </w:rPr>
            <w:t xml:space="preserve">第三条 </w:t>
          </w:r>
          <w:r>
            <w:rPr>
              <w:rFonts w:ascii="仿宋" w:hAnsi="仿宋" w:eastAsia="仿宋"/>
              <w:bCs/>
              <w:color w:val="auto"/>
              <w:kern w:val="0"/>
              <w:szCs w:val="24"/>
              <w:highlight w:val="none"/>
            </w:rPr>
            <w:t xml:space="preserve"> </w:t>
          </w:r>
          <w:r>
            <w:rPr>
              <w:rFonts w:hint="eastAsia" w:ascii="仿宋" w:hAnsi="仿宋" w:eastAsia="仿宋"/>
              <w:bCs/>
              <w:color w:val="auto"/>
              <w:kern w:val="0"/>
              <w:szCs w:val="24"/>
              <w:highlight w:val="none"/>
            </w:rPr>
            <w:t>安全文明施工方面</w:t>
          </w:r>
          <w:r>
            <w:rPr>
              <w:color w:val="auto"/>
              <w:highlight w:val="none"/>
            </w:rPr>
            <w:tab/>
          </w:r>
          <w:r>
            <w:rPr>
              <w:color w:val="auto"/>
              <w:highlight w:val="none"/>
            </w:rPr>
            <w:fldChar w:fldCharType="begin"/>
          </w:r>
          <w:r>
            <w:rPr>
              <w:color w:val="auto"/>
              <w:highlight w:val="none"/>
            </w:rPr>
            <w:instrText xml:space="preserve"> PAGEREF _Toc6268 </w:instrText>
          </w:r>
          <w:r>
            <w:rPr>
              <w:color w:val="auto"/>
              <w:highlight w:val="none"/>
            </w:rPr>
            <w:fldChar w:fldCharType="separate"/>
          </w:r>
          <w:r>
            <w:rPr>
              <w:color w:val="auto"/>
              <w:highlight w:val="none"/>
            </w:rPr>
            <w:t>29</w:t>
          </w:r>
          <w:r>
            <w:rPr>
              <w:color w:val="auto"/>
              <w:highlight w:val="none"/>
            </w:rPr>
            <w:fldChar w:fldCharType="end"/>
          </w:r>
          <w:r>
            <w:rPr>
              <w:color w:val="auto"/>
              <w:highlight w:val="none"/>
            </w:rPr>
            <w:fldChar w:fldCharType="end"/>
          </w:r>
        </w:p>
        <w:p w14:paraId="6B2758A9">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"_Toc17162" </w:instrText>
          </w:r>
          <w:r>
            <w:rPr>
              <w:color w:val="auto"/>
              <w:highlight w:val="none"/>
            </w:rPr>
            <w:fldChar w:fldCharType="separate"/>
          </w:r>
          <w:r>
            <w:rPr>
              <w:rFonts w:hint="eastAsia" w:ascii="仿宋" w:hAnsi="仿宋" w:eastAsia="仿宋"/>
              <w:bCs/>
              <w:color w:val="auto"/>
              <w:kern w:val="0"/>
              <w:szCs w:val="24"/>
              <w:highlight w:val="none"/>
            </w:rPr>
            <w:t xml:space="preserve">第四条 </w:t>
          </w:r>
          <w:r>
            <w:rPr>
              <w:rFonts w:ascii="仿宋" w:hAnsi="仿宋" w:eastAsia="仿宋"/>
              <w:bCs/>
              <w:color w:val="auto"/>
              <w:kern w:val="0"/>
              <w:szCs w:val="24"/>
              <w:highlight w:val="none"/>
            </w:rPr>
            <w:t xml:space="preserve"> 期限整改</w:t>
          </w:r>
          <w:r>
            <w:rPr>
              <w:color w:val="auto"/>
              <w:highlight w:val="none"/>
            </w:rPr>
            <w:tab/>
          </w:r>
          <w:r>
            <w:rPr>
              <w:color w:val="auto"/>
              <w:highlight w:val="none"/>
            </w:rPr>
            <w:fldChar w:fldCharType="begin"/>
          </w:r>
          <w:r>
            <w:rPr>
              <w:color w:val="auto"/>
              <w:highlight w:val="none"/>
            </w:rPr>
            <w:instrText xml:space="preserve"> PAGEREF _Toc17162 </w:instrText>
          </w:r>
          <w:r>
            <w:rPr>
              <w:color w:val="auto"/>
              <w:highlight w:val="none"/>
            </w:rPr>
            <w:fldChar w:fldCharType="separate"/>
          </w:r>
          <w:r>
            <w:rPr>
              <w:color w:val="auto"/>
              <w:highlight w:val="none"/>
            </w:rPr>
            <w:t>38</w:t>
          </w:r>
          <w:r>
            <w:rPr>
              <w:color w:val="auto"/>
              <w:highlight w:val="none"/>
            </w:rPr>
            <w:fldChar w:fldCharType="end"/>
          </w:r>
          <w:r>
            <w:rPr>
              <w:color w:val="auto"/>
              <w:highlight w:val="none"/>
            </w:rPr>
            <w:fldChar w:fldCharType="end"/>
          </w:r>
        </w:p>
        <w:p w14:paraId="7B204227">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"_Toc26304" </w:instrText>
          </w:r>
          <w:r>
            <w:rPr>
              <w:color w:val="auto"/>
              <w:highlight w:val="none"/>
            </w:rPr>
            <w:fldChar w:fldCharType="separate"/>
          </w:r>
          <w:r>
            <w:rPr>
              <w:rFonts w:hint="eastAsia" w:ascii="仿宋" w:hAnsi="仿宋" w:eastAsia="仿宋"/>
              <w:bCs/>
              <w:color w:val="auto"/>
              <w:kern w:val="0"/>
              <w:szCs w:val="24"/>
              <w:highlight w:val="none"/>
            </w:rPr>
            <w:t xml:space="preserve">第五条 </w:t>
          </w:r>
          <w:r>
            <w:rPr>
              <w:rFonts w:ascii="仿宋" w:hAnsi="仿宋" w:eastAsia="仿宋"/>
              <w:bCs/>
              <w:color w:val="auto"/>
              <w:kern w:val="0"/>
              <w:szCs w:val="24"/>
              <w:highlight w:val="none"/>
            </w:rPr>
            <w:t xml:space="preserve"> </w:t>
          </w:r>
          <w:r>
            <w:rPr>
              <w:rFonts w:hint="eastAsia" w:ascii="仿宋" w:hAnsi="仿宋" w:eastAsia="仿宋"/>
              <w:bCs/>
              <w:color w:val="auto"/>
              <w:kern w:val="0"/>
              <w:szCs w:val="24"/>
              <w:highlight w:val="none"/>
            </w:rPr>
            <w:t>罚款扣减办法</w:t>
          </w:r>
          <w:r>
            <w:rPr>
              <w:color w:val="auto"/>
              <w:highlight w:val="none"/>
            </w:rPr>
            <w:tab/>
          </w:r>
          <w:r>
            <w:rPr>
              <w:color w:val="auto"/>
              <w:highlight w:val="none"/>
            </w:rPr>
            <w:fldChar w:fldCharType="begin"/>
          </w:r>
          <w:r>
            <w:rPr>
              <w:color w:val="auto"/>
              <w:highlight w:val="none"/>
            </w:rPr>
            <w:instrText xml:space="preserve"> PAGEREF _Toc26304 </w:instrText>
          </w:r>
          <w:r>
            <w:rPr>
              <w:color w:val="auto"/>
              <w:highlight w:val="none"/>
            </w:rPr>
            <w:fldChar w:fldCharType="separate"/>
          </w:r>
          <w:r>
            <w:rPr>
              <w:color w:val="auto"/>
              <w:highlight w:val="none"/>
            </w:rPr>
            <w:t>39</w:t>
          </w:r>
          <w:r>
            <w:rPr>
              <w:color w:val="auto"/>
              <w:highlight w:val="none"/>
            </w:rPr>
            <w:fldChar w:fldCharType="end"/>
          </w:r>
          <w:r>
            <w:rPr>
              <w:color w:val="auto"/>
              <w:highlight w:val="none"/>
            </w:rPr>
            <w:fldChar w:fldCharType="end"/>
          </w:r>
        </w:p>
        <w:p w14:paraId="1588FAD0">
          <w:pPr>
            <w:pStyle w:val="31"/>
            <w:tabs>
              <w:tab w:val="right" w:leader="dot" w:pos="8306"/>
            </w:tabs>
            <w:rPr>
              <w:color w:val="auto"/>
              <w:highlight w:val="none"/>
            </w:rPr>
          </w:pPr>
          <w:r>
            <w:rPr>
              <w:color w:val="auto"/>
              <w:highlight w:val="none"/>
            </w:rPr>
            <w:fldChar w:fldCharType="begin"/>
          </w:r>
          <w:r>
            <w:rPr>
              <w:color w:val="auto"/>
              <w:highlight w:val="none"/>
            </w:rPr>
            <w:instrText xml:space="preserve"> HYPERLINK \l "_Toc25200" </w:instrText>
          </w:r>
          <w:r>
            <w:rPr>
              <w:color w:val="auto"/>
              <w:highlight w:val="none"/>
            </w:rPr>
            <w:fldChar w:fldCharType="separate"/>
          </w:r>
          <w:r>
            <w:rPr>
              <w:rFonts w:hint="eastAsia" w:ascii="仿宋" w:hAnsi="仿宋" w:eastAsia="仿宋"/>
              <w:bCs/>
              <w:color w:val="auto"/>
              <w:kern w:val="0"/>
              <w:szCs w:val="24"/>
              <w:highlight w:val="none"/>
            </w:rPr>
            <w:t xml:space="preserve">第六条 </w:t>
          </w:r>
          <w:r>
            <w:rPr>
              <w:rFonts w:ascii="仿宋" w:hAnsi="仿宋" w:eastAsia="仿宋"/>
              <w:bCs/>
              <w:color w:val="auto"/>
              <w:kern w:val="0"/>
              <w:szCs w:val="24"/>
              <w:highlight w:val="none"/>
            </w:rPr>
            <w:t xml:space="preserve"> </w:t>
          </w:r>
          <w:r>
            <w:rPr>
              <w:rFonts w:hint="eastAsia" w:ascii="仿宋" w:hAnsi="仿宋" w:eastAsia="仿宋"/>
              <w:bCs/>
              <w:color w:val="auto"/>
              <w:kern w:val="0"/>
              <w:szCs w:val="24"/>
              <w:highlight w:val="none"/>
            </w:rPr>
            <w:t>效力</w:t>
          </w:r>
          <w:r>
            <w:rPr>
              <w:color w:val="auto"/>
              <w:highlight w:val="none"/>
            </w:rPr>
            <w:tab/>
          </w:r>
          <w:r>
            <w:rPr>
              <w:color w:val="auto"/>
              <w:highlight w:val="none"/>
            </w:rPr>
            <w:fldChar w:fldCharType="begin"/>
          </w:r>
          <w:r>
            <w:rPr>
              <w:color w:val="auto"/>
              <w:highlight w:val="none"/>
            </w:rPr>
            <w:instrText xml:space="preserve"> PAGEREF _Toc25200 </w:instrText>
          </w:r>
          <w:r>
            <w:rPr>
              <w:color w:val="auto"/>
              <w:highlight w:val="none"/>
            </w:rPr>
            <w:fldChar w:fldCharType="separate"/>
          </w:r>
          <w:r>
            <w:rPr>
              <w:color w:val="auto"/>
              <w:highlight w:val="none"/>
            </w:rPr>
            <w:t>39</w:t>
          </w:r>
          <w:r>
            <w:rPr>
              <w:color w:val="auto"/>
              <w:highlight w:val="none"/>
            </w:rPr>
            <w:fldChar w:fldCharType="end"/>
          </w:r>
          <w:r>
            <w:rPr>
              <w:color w:val="auto"/>
              <w:highlight w:val="none"/>
            </w:rPr>
            <w:fldChar w:fldCharType="end"/>
          </w:r>
        </w:p>
        <w:p w14:paraId="31DECE9F">
          <w:pPr>
            <w:pStyle w:val="36"/>
            <w:rPr>
              <w:color w:val="auto"/>
              <w:sz w:val="16"/>
              <w:highlight w:val="none"/>
              <w:lang w:val="zh-CN"/>
            </w:rPr>
          </w:pPr>
          <w:r>
            <w:rPr>
              <w:bCs/>
              <w:color w:val="auto"/>
              <w:highlight w:val="none"/>
              <w:lang w:val="zh-CN"/>
            </w:rPr>
            <w:fldChar w:fldCharType="end"/>
          </w:r>
        </w:p>
      </w:sdtContent>
    </w:sdt>
    <w:p w14:paraId="0ED5FFD0">
      <w:pPr>
        <w:ind w:left="267" w:leftChars="127"/>
        <w:jc w:val="center"/>
        <w:outlineLvl w:val="0"/>
        <w:rPr>
          <w:rFonts w:ascii="仿宋" w:hAnsi="仿宋" w:eastAsia="仿宋"/>
          <w:b/>
          <w:bCs/>
          <w:color w:val="auto"/>
          <w:kern w:val="0"/>
          <w:sz w:val="32"/>
          <w:szCs w:val="32"/>
          <w:highlight w:val="none"/>
        </w:rPr>
      </w:pPr>
    </w:p>
    <w:p w14:paraId="6B0DE449">
      <w:pPr>
        <w:pStyle w:val="36"/>
        <w:rPr>
          <w:color w:val="auto"/>
          <w:highlight w:val="none"/>
        </w:rPr>
      </w:pPr>
    </w:p>
    <w:p w14:paraId="06C2AB34">
      <w:pPr>
        <w:pStyle w:val="36"/>
        <w:rPr>
          <w:color w:val="auto"/>
          <w:highlight w:val="none"/>
        </w:rPr>
      </w:pPr>
    </w:p>
    <w:p w14:paraId="3D289D08">
      <w:pPr>
        <w:pStyle w:val="36"/>
        <w:ind w:firstLine="0"/>
        <w:rPr>
          <w:color w:val="auto"/>
          <w:highlight w:val="none"/>
        </w:rPr>
        <w:sectPr>
          <w:footerReference r:id="rId4" w:type="default"/>
          <w:pgSz w:w="11906" w:h="16838"/>
          <w:pgMar w:top="1440" w:right="1800" w:bottom="1440" w:left="1800" w:header="851" w:footer="992" w:gutter="0"/>
          <w:pgNumType w:start="1"/>
          <w:cols w:space="425" w:num="1"/>
          <w:docGrid w:type="lines" w:linePitch="312" w:charSpace="0"/>
        </w:sectPr>
      </w:pPr>
    </w:p>
    <w:p w14:paraId="3507BD70">
      <w:pPr>
        <w:pStyle w:val="36"/>
        <w:ind w:firstLine="0"/>
        <w:rPr>
          <w:color w:val="auto"/>
          <w:highlight w:val="none"/>
        </w:rPr>
      </w:pPr>
    </w:p>
    <w:p w14:paraId="1B7D08DC">
      <w:pPr>
        <w:ind w:left="267" w:leftChars="127"/>
        <w:jc w:val="center"/>
        <w:outlineLvl w:val="0"/>
        <w:rPr>
          <w:rFonts w:ascii="仿宋" w:hAnsi="仿宋" w:eastAsia="仿宋"/>
          <w:b/>
          <w:bCs/>
          <w:color w:val="auto"/>
          <w:kern w:val="0"/>
          <w:sz w:val="32"/>
          <w:szCs w:val="32"/>
          <w:highlight w:val="none"/>
        </w:rPr>
      </w:pPr>
      <w:bookmarkStart w:id="1" w:name="_Toc14593"/>
      <w:r>
        <w:rPr>
          <w:rFonts w:ascii="仿宋" w:hAnsi="仿宋" w:eastAsia="仿宋"/>
          <w:b/>
          <w:bCs/>
          <w:color w:val="auto"/>
          <w:kern w:val="0"/>
          <w:sz w:val="32"/>
          <w:szCs w:val="32"/>
          <w:highlight w:val="none"/>
        </w:rPr>
        <w:t>第一章</w:t>
      </w:r>
      <w:r>
        <w:rPr>
          <w:rFonts w:hint="eastAsia" w:ascii="仿宋" w:hAnsi="仿宋" w:eastAsia="仿宋"/>
          <w:b/>
          <w:bCs/>
          <w:color w:val="auto"/>
          <w:kern w:val="0"/>
          <w:sz w:val="32"/>
          <w:szCs w:val="32"/>
          <w:highlight w:val="none"/>
        </w:rPr>
        <w:t xml:space="preserve"> </w:t>
      </w:r>
      <w:r>
        <w:rPr>
          <w:rFonts w:ascii="仿宋" w:hAnsi="仿宋" w:eastAsia="仿宋"/>
          <w:b/>
          <w:bCs/>
          <w:color w:val="auto"/>
          <w:kern w:val="0"/>
          <w:sz w:val="32"/>
          <w:szCs w:val="32"/>
          <w:highlight w:val="none"/>
        </w:rPr>
        <w:t xml:space="preserve"> </w:t>
      </w:r>
      <w:bookmarkEnd w:id="0"/>
      <w:r>
        <w:rPr>
          <w:rFonts w:hint="eastAsia" w:ascii="仿宋" w:hAnsi="仿宋" w:eastAsia="仿宋"/>
          <w:b/>
          <w:bCs/>
          <w:color w:val="auto"/>
          <w:kern w:val="0"/>
          <w:sz w:val="32"/>
          <w:szCs w:val="32"/>
          <w:highlight w:val="none"/>
        </w:rPr>
        <w:t>总则</w:t>
      </w:r>
      <w:bookmarkEnd w:id="1"/>
    </w:p>
    <w:p w14:paraId="27DD3C12">
      <w:pPr>
        <w:spacing w:line="360" w:lineRule="auto"/>
        <w:jc w:val="left"/>
        <w:outlineLvl w:val="1"/>
        <w:rPr>
          <w:rFonts w:ascii="仿宋" w:hAnsi="仿宋" w:eastAsia="仿宋"/>
          <w:b/>
          <w:bCs/>
          <w:color w:val="auto"/>
          <w:kern w:val="0"/>
          <w:sz w:val="24"/>
          <w:szCs w:val="24"/>
          <w:highlight w:val="none"/>
        </w:rPr>
      </w:pPr>
      <w:bookmarkStart w:id="2" w:name="_Toc9444"/>
      <w:bookmarkStart w:id="3" w:name="_Toc22076"/>
      <w:r>
        <w:rPr>
          <w:rFonts w:hint="eastAsia" w:ascii="仿宋" w:hAnsi="仿宋" w:eastAsia="仿宋"/>
          <w:b/>
          <w:bCs/>
          <w:color w:val="auto"/>
          <w:kern w:val="0"/>
          <w:sz w:val="24"/>
          <w:szCs w:val="24"/>
          <w:highlight w:val="none"/>
        </w:rPr>
        <w:t xml:space="preserve">第一条 </w:t>
      </w:r>
      <w:r>
        <w:rPr>
          <w:rFonts w:ascii="仿宋" w:hAnsi="仿宋" w:eastAsia="仿宋"/>
          <w:b/>
          <w:bCs/>
          <w:color w:val="auto"/>
          <w:kern w:val="0"/>
          <w:sz w:val="24"/>
          <w:szCs w:val="24"/>
          <w:highlight w:val="none"/>
        </w:rPr>
        <w:t xml:space="preserve"> </w:t>
      </w:r>
      <w:r>
        <w:rPr>
          <w:rFonts w:hint="eastAsia" w:ascii="仿宋" w:hAnsi="仿宋" w:eastAsia="仿宋"/>
          <w:b/>
          <w:bCs/>
          <w:color w:val="auto"/>
          <w:kern w:val="0"/>
          <w:sz w:val="24"/>
          <w:szCs w:val="24"/>
          <w:highlight w:val="none"/>
        </w:rPr>
        <w:t>目的</w:t>
      </w:r>
      <w:bookmarkEnd w:id="2"/>
      <w:bookmarkEnd w:id="3"/>
    </w:p>
    <w:p w14:paraId="20D320FB">
      <w:pPr>
        <w:spacing w:line="360" w:lineRule="auto"/>
        <w:ind w:firstLine="480" w:firstLineChars="200"/>
        <w:jc w:val="left"/>
        <w:rPr>
          <w:rFonts w:ascii="仿宋" w:hAnsi="仿宋" w:eastAsia="仿宋"/>
          <w:color w:val="auto"/>
          <w:sz w:val="24"/>
          <w:szCs w:val="24"/>
          <w:highlight w:val="none"/>
        </w:rPr>
      </w:pPr>
      <w:r>
        <w:rPr>
          <w:rFonts w:ascii="仿宋" w:hAnsi="仿宋" w:eastAsia="仿宋"/>
          <w:bCs/>
          <w:color w:val="auto"/>
          <w:kern w:val="0"/>
          <w:sz w:val="24"/>
          <w:szCs w:val="24"/>
          <w:highlight w:val="none"/>
        </w:rPr>
        <w:t>为</w:t>
      </w:r>
      <w:r>
        <w:rPr>
          <w:rFonts w:hint="eastAsia" w:ascii="仿宋" w:hAnsi="仿宋" w:eastAsia="仿宋"/>
          <w:bCs/>
          <w:color w:val="auto"/>
          <w:kern w:val="0"/>
          <w:sz w:val="24"/>
          <w:szCs w:val="24"/>
          <w:highlight w:val="none"/>
        </w:rPr>
        <w:t>提示</w:t>
      </w:r>
      <w:r>
        <w:rPr>
          <w:rFonts w:ascii="仿宋" w:hAnsi="仿宋" w:eastAsia="仿宋"/>
          <w:bCs/>
          <w:color w:val="auto"/>
          <w:kern w:val="0"/>
          <w:sz w:val="24"/>
          <w:szCs w:val="24"/>
          <w:highlight w:val="none"/>
        </w:rPr>
        <w:t>现场管理水平</w:t>
      </w:r>
      <w:r>
        <w:rPr>
          <w:rFonts w:hint="eastAsia" w:ascii="仿宋" w:hAnsi="仿宋" w:eastAsia="仿宋"/>
          <w:bCs/>
          <w:color w:val="auto"/>
          <w:kern w:val="0"/>
          <w:sz w:val="24"/>
          <w:szCs w:val="24"/>
          <w:highlight w:val="none"/>
        </w:rPr>
        <w:t>，</w:t>
      </w:r>
      <w:r>
        <w:rPr>
          <w:rFonts w:ascii="仿宋" w:hAnsi="仿宋" w:eastAsia="仿宋"/>
          <w:bCs/>
          <w:color w:val="auto"/>
          <w:kern w:val="0"/>
          <w:sz w:val="24"/>
          <w:szCs w:val="24"/>
          <w:highlight w:val="none"/>
        </w:rPr>
        <w:t>做好现场质量</w:t>
      </w:r>
      <w:r>
        <w:rPr>
          <w:rFonts w:hint="eastAsia" w:ascii="仿宋" w:hAnsi="仿宋" w:eastAsia="仿宋"/>
          <w:bCs/>
          <w:color w:val="auto"/>
          <w:kern w:val="0"/>
          <w:sz w:val="24"/>
          <w:szCs w:val="24"/>
          <w:highlight w:val="none"/>
        </w:rPr>
        <w:t>、</w:t>
      </w:r>
      <w:r>
        <w:rPr>
          <w:rFonts w:ascii="仿宋" w:hAnsi="仿宋" w:eastAsia="仿宋"/>
          <w:bCs/>
          <w:color w:val="auto"/>
          <w:kern w:val="0"/>
          <w:sz w:val="24"/>
          <w:szCs w:val="24"/>
          <w:highlight w:val="none"/>
        </w:rPr>
        <w:t>安全文明施工</w:t>
      </w:r>
      <w:r>
        <w:rPr>
          <w:rFonts w:hint="eastAsia" w:ascii="仿宋" w:hAnsi="仿宋" w:eastAsia="仿宋"/>
          <w:bCs/>
          <w:color w:val="auto"/>
          <w:kern w:val="0"/>
          <w:sz w:val="24"/>
          <w:szCs w:val="24"/>
          <w:highlight w:val="none"/>
        </w:rPr>
        <w:t>，</w:t>
      </w:r>
      <w:r>
        <w:rPr>
          <w:rFonts w:hint="eastAsia" w:ascii="仿宋" w:hAnsi="仿宋" w:eastAsia="仿宋"/>
          <w:color w:val="auto"/>
          <w:sz w:val="24"/>
          <w:szCs w:val="24"/>
          <w:highlight w:val="none"/>
        </w:rPr>
        <w:t>较少工程管理风险管、结合《工程管理制度》编制本现场管理规定及奖罚细则。</w:t>
      </w:r>
    </w:p>
    <w:p w14:paraId="76CA31C3">
      <w:pPr>
        <w:spacing w:line="360" w:lineRule="auto"/>
        <w:ind w:firstLine="482" w:firstLineChars="200"/>
        <w:jc w:val="left"/>
        <w:rPr>
          <w:rFonts w:ascii="仿宋" w:hAnsi="仿宋" w:eastAsia="仿宋"/>
          <w:b/>
          <w:color w:val="auto"/>
          <w:sz w:val="24"/>
          <w:szCs w:val="24"/>
          <w:highlight w:val="none"/>
        </w:rPr>
      </w:pPr>
    </w:p>
    <w:p w14:paraId="0792977A">
      <w:pPr>
        <w:pStyle w:val="2"/>
        <w:rPr>
          <w:rFonts w:hint="eastAsia"/>
          <w:color w:val="auto"/>
          <w:highlight w:val="none"/>
        </w:rPr>
      </w:pPr>
    </w:p>
    <w:p w14:paraId="22666279">
      <w:pPr>
        <w:ind w:left="267" w:leftChars="127"/>
        <w:jc w:val="center"/>
        <w:outlineLvl w:val="0"/>
        <w:rPr>
          <w:rFonts w:ascii="仿宋" w:hAnsi="仿宋" w:eastAsia="仿宋"/>
          <w:b/>
          <w:bCs/>
          <w:color w:val="auto"/>
          <w:kern w:val="0"/>
          <w:sz w:val="32"/>
          <w:szCs w:val="32"/>
          <w:highlight w:val="none"/>
        </w:rPr>
      </w:pPr>
      <w:bookmarkStart w:id="4" w:name="_Toc30274"/>
      <w:bookmarkStart w:id="5" w:name="_Toc3674"/>
      <w:r>
        <w:rPr>
          <w:rFonts w:ascii="仿宋" w:hAnsi="仿宋" w:eastAsia="仿宋"/>
          <w:b/>
          <w:bCs/>
          <w:color w:val="auto"/>
          <w:kern w:val="0"/>
          <w:sz w:val="32"/>
          <w:szCs w:val="32"/>
          <w:highlight w:val="none"/>
        </w:rPr>
        <w:t>第</w:t>
      </w:r>
      <w:r>
        <w:rPr>
          <w:rFonts w:hint="eastAsia" w:ascii="仿宋" w:hAnsi="仿宋" w:eastAsia="仿宋"/>
          <w:b/>
          <w:bCs/>
          <w:color w:val="auto"/>
          <w:kern w:val="0"/>
          <w:sz w:val="32"/>
          <w:szCs w:val="32"/>
          <w:highlight w:val="none"/>
        </w:rPr>
        <w:t>二</w:t>
      </w:r>
      <w:r>
        <w:rPr>
          <w:rFonts w:ascii="仿宋" w:hAnsi="仿宋" w:eastAsia="仿宋"/>
          <w:b/>
          <w:bCs/>
          <w:color w:val="auto"/>
          <w:kern w:val="0"/>
          <w:sz w:val="32"/>
          <w:szCs w:val="32"/>
          <w:highlight w:val="none"/>
        </w:rPr>
        <w:t>章</w:t>
      </w:r>
      <w:r>
        <w:rPr>
          <w:rFonts w:hint="eastAsia" w:ascii="仿宋" w:hAnsi="仿宋" w:eastAsia="仿宋"/>
          <w:b/>
          <w:bCs/>
          <w:color w:val="auto"/>
          <w:kern w:val="0"/>
          <w:sz w:val="32"/>
          <w:szCs w:val="32"/>
          <w:highlight w:val="none"/>
        </w:rPr>
        <w:t xml:space="preserve"> </w:t>
      </w:r>
      <w:r>
        <w:rPr>
          <w:rFonts w:ascii="仿宋" w:hAnsi="仿宋" w:eastAsia="仿宋"/>
          <w:b/>
          <w:bCs/>
          <w:color w:val="auto"/>
          <w:kern w:val="0"/>
          <w:sz w:val="32"/>
          <w:szCs w:val="32"/>
          <w:highlight w:val="none"/>
        </w:rPr>
        <w:t xml:space="preserve"> </w:t>
      </w:r>
      <w:bookmarkEnd w:id="4"/>
      <w:r>
        <w:rPr>
          <w:rFonts w:hint="eastAsia" w:ascii="仿宋" w:hAnsi="仿宋" w:eastAsia="仿宋"/>
          <w:b/>
          <w:bCs/>
          <w:color w:val="auto"/>
          <w:kern w:val="0"/>
          <w:sz w:val="32"/>
          <w:szCs w:val="32"/>
          <w:highlight w:val="none"/>
        </w:rPr>
        <w:t>现场管理规定</w:t>
      </w:r>
      <w:bookmarkEnd w:id="5"/>
    </w:p>
    <w:p w14:paraId="0E0225FC">
      <w:pPr>
        <w:spacing w:line="360" w:lineRule="auto"/>
        <w:jc w:val="left"/>
        <w:outlineLvl w:val="1"/>
        <w:rPr>
          <w:rFonts w:ascii="仿宋" w:hAnsi="仿宋" w:eastAsia="仿宋"/>
          <w:b/>
          <w:bCs/>
          <w:color w:val="auto"/>
          <w:kern w:val="0"/>
          <w:sz w:val="24"/>
          <w:szCs w:val="24"/>
          <w:highlight w:val="none"/>
        </w:rPr>
      </w:pPr>
      <w:bookmarkStart w:id="6" w:name="_Toc8103"/>
      <w:bookmarkStart w:id="7" w:name="_Toc28305"/>
      <w:r>
        <w:rPr>
          <w:rFonts w:hint="eastAsia" w:ascii="仿宋" w:hAnsi="仿宋" w:eastAsia="仿宋"/>
          <w:b/>
          <w:bCs/>
          <w:color w:val="auto"/>
          <w:kern w:val="0"/>
          <w:sz w:val="24"/>
          <w:szCs w:val="24"/>
          <w:highlight w:val="none"/>
        </w:rPr>
        <w:t xml:space="preserve">第一条 </w:t>
      </w:r>
      <w:r>
        <w:rPr>
          <w:rFonts w:ascii="仿宋" w:hAnsi="仿宋" w:eastAsia="仿宋"/>
          <w:b/>
          <w:bCs/>
          <w:color w:val="auto"/>
          <w:kern w:val="0"/>
          <w:sz w:val="24"/>
          <w:szCs w:val="24"/>
          <w:highlight w:val="none"/>
        </w:rPr>
        <w:t xml:space="preserve"> </w:t>
      </w:r>
      <w:bookmarkEnd w:id="6"/>
      <w:r>
        <w:rPr>
          <w:rFonts w:hint="eastAsia" w:ascii="仿宋" w:hAnsi="仿宋" w:eastAsia="仿宋"/>
          <w:b/>
          <w:bCs/>
          <w:color w:val="auto"/>
          <w:kern w:val="0"/>
          <w:sz w:val="24"/>
          <w:szCs w:val="24"/>
          <w:highlight w:val="none"/>
        </w:rPr>
        <w:t>会议方面</w:t>
      </w:r>
      <w:bookmarkEnd w:id="7"/>
    </w:p>
    <w:p w14:paraId="3F262102">
      <w:pPr>
        <w:tabs>
          <w:tab w:val="left" w:pos="1442"/>
          <w:tab w:val="left" w:pos="1470"/>
        </w:tabs>
        <w:spacing w:line="360" w:lineRule="auto"/>
        <w:ind w:left="-94" w:leftChars="-45" w:firstLine="480" w:firstLineChars="200"/>
        <w:rPr>
          <w:rFonts w:ascii="仿宋" w:hAnsi="仿宋" w:eastAsia="仿宋"/>
          <w:bCs/>
          <w:color w:val="auto"/>
          <w:kern w:val="0"/>
          <w:sz w:val="24"/>
          <w:szCs w:val="24"/>
          <w:highlight w:val="none"/>
        </w:rPr>
      </w:pPr>
      <w:bookmarkStart w:id="8" w:name="_Toc2684"/>
      <w:r>
        <w:rPr>
          <w:rFonts w:ascii="仿宋" w:hAnsi="仿宋" w:eastAsia="仿宋"/>
          <w:bCs/>
          <w:color w:val="auto"/>
          <w:kern w:val="0"/>
          <w:sz w:val="24"/>
          <w:szCs w:val="24"/>
          <w:highlight w:val="none"/>
        </w:rPr>
        <w:t>1</w:t>
      </w:r>
      <w:r>
        <w:rPr>
          <w:rFonts w:hint="eastAsia" w:ascii="仿宋" w:hAnsi="仿宋" w:eastAsia="仿宋"/>
          <w:bCs/>
          <w:color w:val="auto"/>
          <w:kern w:val="0"/>
          <w:sz w:val="24"/>
          <w:szCs w:val="24"/>
          <w:highlight w:val="none"/>
        </w:rPr>
        <w:t>、各种会议都设签到表，监理单位和分包单位由总监理工程师和项目经理（以下统称负责人）签到，其他与会人员不必签到。迟到和缺席人员由监理单位记录人员于签到薄上注明。签到表应附于该次会议纪要之后。</w:t>
      </w:r>
    </w:p>
    <w:p w14:paraId="7B7A55B3">
      <w:pPr>
        <w:tabs>
          <w:tab w:val="left" w:pos="1442"/>
          <w:tab w:val="left" w:pos="1470"/>
        </w:tabs>
        <w:spacing w:line="360" w:lineRule="auto"/>
        <w:ind w:left="-94" w:leftChars="-45" w:firstLine="480" w:firstLineChars="200"/>
        <w:rPr>
          <w:rFonts w:ascii="仿宋" w:hAnsi="仿宋" w:eastAsia="仿宋"/>
          <w:bCs/>
          <w:color w:val="auto"/>
          <w:kern w:val="0"/>
          <w:sz w:val="24"/>
          <w:szCs w:val="24"/>
          <w:highlight w:val="none"/>
        </w:rPr>
      </w:pPr>
      <w:r>
        <w:rPr>
          <w:rFonts w:ascii="仿宋" w:hAnsi="仿宋" w:eastAsia="仿宋"/>
          <w:bCs/>
          <w:color w:val="auto"/>
          <w:kern w:val="0"/>
          <w:sz w:val="24"/>
          <w:szCs w:val="24"/>
          <w:highlight w:val="none"/>
        </w:rPr>
        <w:t>2</w:t>
      </w:r>
      <w:r>
        <w:rPr>
          <w:rFonts w:hint="eastAsia" w:ascii="仿宋" w:hAnsi="仿宋" w:eastAsia="仿宋"/>
          <w:bCs/>
          <w:color w:val="auto"/>
          <w:kern w:val="0"/>
          <w:sz w:val="24"/>
          <w:szCs w:val="24"/>
          <w:highlight w:val="none"/>
        </w:rPr>
        <w:t>、因故不能参加会议的监理单位和</w:t>
      </w:r>
      <w:r>
        <w:rPr>
          <w:rFonts w:hint="eastAsia" w:ascii="仿宋" w:hAnsi="仿宋" w:eastAsia="仿宋"/>
          <w:bCs/>
          <w:color w:val="auto"/>
          <w:kern w:val="0"/>
          <w:sz w:val="24"/>
          <w:szCs w:val="24"/>
          <w:highlight w:val="none"/>
          <w:lang w:eastAsia="zh-CN"/>
        </w:rPr>
        <w:t>总承包人</w:t>
      </w:r>
      <w:r>
        <w:rPr>
          <w:rFonts w:hint="eastAsia" w:ascii="仿宋" w:hAnsi="仿宋" w:eastAsia="仿宋"/>
          <w:bCs/>
          <w:color w:val="auto"/>
          <w:kern w:val="0"/>
          <w:sz w:val="24"/>
          <w:szCs w:val="24"/>
          <w:highlight w:val="none"/>
        </w:rPr>
        <w:t>负责人，必须提前半天向建设方、</w:t>
      </w:r>
      <w:r>
        <w:rPr>
          <w:rFonts w:hint="eastAsia" w:ascii="仿宋" w:hAnsi="仿宋" w:eastAsia="仿宋"/>
          <w:bCs/>
          <w:color w:val="auto"/>
          <w:kern w:val="0"/>
          <w:sz w:val="24"/>
          <w:szCs w:val="24"/>
          <w:highlight w:val="none"/>
          <w:lang w:val="en-US" w:eastAsia="zh-CN"/>
        </w:rPr>
        <w:t>代建管理单位、</w:t>
      </w:r>
      <w:r>
        <w:rPr>
          <w:rFonts w:hint="eastAsia" w:ascii="仿宋" w:hAnsi="仿宋" w:eastAsia="仿宋"/>
          <w:bCs/>
          <w:color w:val="auto"/>
          <w:kern w:val="0"/>
          <w:sz w:val="24"/>
          <w:szCs w:val="24"/>
          <w:highlight w:val="none"/>
          <w:lang w:eastAsia="zh-CN"/>
        </w:rPr>
        <w:t>监理单位</w:t>
      </w:r>
      <w:r>
        <w:rPr>
          <w:rFonts w:hint="eastAsia" w:ascii="仿宋" w:hAnsi="仿宋" w:eastAsia="仿宋"/>
          <w:bCs/>
          <w:color w:val="auto"/>
          <w:kern w:val="0"/>
          <w:sz w:val="24"/>
          <w:szCs w:val="24"/>
          <w:highlight w:val="none"/>
        </w:rPr>
        <w:t>负责人或会议召集人书面或者微信请假,并指定代表参加会议；其他人员不能参加会议的，由负责人向建设方、</w:t>
      </w:r>
      <w:r>
        <w:rPr>
          <w:rFonts w:hint="eastAsia" w:ascii="仿宋" w:hAnsi="仿宋" w:eastAsia="仿宋"/>
          <w:bCs/>
          <w:color w:val="auto"/>
          <w:kern w:val="0"/>
          <w:sz w:val="24"/>
          <w:szCs w:val="24"/>
          <w:highlight w:val="none"/>
          <w:lang w:val="en-US" w:eastAsia="zh-CN"/>
        </w:rPr>
        <w:t>代建管理单位、</w:t>
      </w:r>
      <w:r>
        <w:rPr>
          <w:rFonts w:hint="eastAsia" w:ascii="仿宋" w:hAnsi="仿宋" w:eastAsia="仿宋"/>
          <w:bCs/>
          <w:color w:val="auto"/>
          <w:kern w:val="0"/>
          <w:sz w:val="24"/>
          <w:szCs w:val="24"/>
          <w:highlight w:val="none"/>
        </w:rPr>
        <w:t>监理</w:t>
      </w:r>
      <w:r>
        <w:rPr>
          <w:rFonts w:hint="eastAsia" w:ascii="仿宋" w:hAnsi="仿宋" w:eastAsia="仿宋"/>
          <w:bCs/>
          <w:color w:val="auto"/>
          <w:kern w:val="0"/>
          <w:sz w:val="24"/>
          <w:szCs w:val="24"/>
          <w:highlight w:val="none"/>
          <w:lang w:val="en-US" w:eastAsia="zh-CN"/>
        </w:rPr>
        <w:t>单位</w:t>
      </w:r>
      <w:r>
        <w:rPr>
          <w:rFonts w:hint="eastAsia" w:ascii="仿宋" w:hAnsi="仿宋" w:eastAsia="仿宋"/>
          <w:bCs/>
          <w:color w:val="auto"/>
          <w:kern w:val="0"/>
          <w:sz w:val="24"/>
          <w:szCs w:val="24"/>
          <w:highlight w:val="none"/>
        </w:rPr>
        <w:t>负责人或会议召集人书面或者微信请假，但如会议需要，应由负责人指定其他人员出席会议;</w:t>
      </w:r>
    </w:p>
    <w:p w14:paraId="590ED0BA">
      <w:pPr>
        <w:spacing w:line="360" w:lineRule="auto"/>
        <w:ind w:firstLine="480" w:firstLineChars="200"/>
        <w:rPr>
          <w:rFonts w:ascii="仿宋" w:hAnsi="仿宋" w:eastAsia="仿宋"/>
          <w:bCs/>
          <w:color w:val="auto"/>
          <w:kern w:val="0"/>
          <w:sz w:val="24"/>
          <w:szCs w:val="24"/>
          <w:highlight w:val="none"/>
        </w:rPr>
      </w:pPr>
      <w:r>
        <w:rPr>
          <w:rFonts w:ascii="仿宋" w:hAnsi="仿宋" w:eastAsia="仿宋"/>
          <w:bCs/>
          <w:color w:val="auto"/>
          <w:kern w:val="0"/>
          <w:sz w:val="24"/>
          <w:szCs w:val="24"/>
          <w:highlight w:val="none"/>
        </w:rPr>
        <w:t>3</w:t>
      </w:r>
      <w:r>
        <w:rPr>
          <w:rFonts w:hint="eastAsia" w:ascii="仿宋" w:hAnsi="仿宋" w:eastAsia="仿宋"/>
          <w:bCs/>
          <w:color w:val="auto"/>
          <w:kern w:val="0"/>
          <w:sz w:val="24"/>
          <w:szCs w:val="24"/>
          <w:highlight w:val="none"/>
        </w:rPr>
        <w:t>、监理单位、</w:t>
      </w:r>
      <w:r>
        <w:rPr>
          <w:rFonts w:hint="eastAsia" w:ascii="仿宋" w:hAnsi="仿宋" w:eastAsia="仿宋"/>
          <w:bCs/>
          <w:color w:val="auto"/>
          <w:kern w:val="0"/>
          <w:sz w:val="24"/>
          <w:szCs w:val="24"/>
          <w:highlight w:val="none"/>
          <w:lang w:eastAsia="zh-CN"/>
        </w:rPr>
        <w:t>总承包人</w:t>
      </w:r>
      <w:r>
        <w:rPr>
          <w:rFonts w:hint="eastAsia" w:ascii="仿宋" w:hAnsi="仿宋" w:eastAsia="仿宋"/>
          <w:bCs/>
          <w:color w:val="auto"/>
          <w:kern w:val="0"/>
          <w:sz w:val="24"/>
          <w:szCs w:val="24"/>
          <w:highlight w:val="none"/>
        </w:rPr>
        <w:t>负责人未经请假或批准即不出席会议的，给予经济处罚；第二次无故缺席将双倍经济处罚并通报相关负责人；第三次无故缺席项目部将有权更换相关负责人。（注明：违规事项奖罚按&lt;&lt;奖罚制度&gt;&gt;条款进行处罚）</w:t>
      </w:r>
    </w:p>
    <w:p w14:paraId="4057EE17">
      <w:pPr>
        <w:spacing w:line="360" w:lineRule="auto"/>
        <w:ind w:firstLine="480" w:firstLineChars="200"/>
        <w:rPr>
          <w:rFonts w:ascii="仿宋" w:hAnsi="仿宋" w:eastAsia="仿宋"/>
          <w:bCs/>
          <w:color w:val="auto"/>
          <w:kern w:val="0"/>
          <w:sz w:val="24"/>
          <w:szCs w:val="24"/>
          <w:highlight w:val="none"/>
        </w:rPr>
      </w:pPr>
      <w:r>
        <w:rPr>
          <w:rFonts w:ascii="仿宋" w:hAnsi="仿宋" w:eastAsia="仿宋"/>
          <w:bCs/>
          <w:color w:val="auto"/>
          <w:kern w:val="0"/>
          <w:sz w:val="24"/>
          <w:szCs w:val="24"/>
          <w:highlight w:val="none"/>
        </w:rPr>
        <w:t>4</w:t>
      </w:r>
      <w:r>
        <w:rPr>
          <w:rFonts w:hint="eastAsia" w:ascii="仿宋" w:hAnsi="仿宋" w:eastAsia="仿宋"/>
          <w:bCs/>
          <w:color w:val="auto"/>
          <w:kern w:val="0"/>
          <w:sz w:val="24"/>
          <w:szCs w:val="24"/>
          <w:highlight w:val="none"/>
        </w:rPr>
        <w:t>、周工程例会各与会人员需携带上周会议纪要和本周会议准备资料（如周报表）出席。各承包商需提前准备周计划/完成表，计划表中需体现人员、机械设备、材料投入情况，并于每周一上午1</w:t>
      </w:r>
      <w:r>
        <w:rPr>
          <w:rFonts w:ascii="仿宋" w:hAnsi="仿宋" w:eastAsia="仿宋"/>
          <w:bCs/>
          <w:color w:val="auto"/>
          <w:kern w:val="0"/>
          <w:sz w:val="24"/>
          <w:szCs w:val="24"/>
          <w:highlight w:val="none"/>
        </w:rPr>
        <w:t>0</w:t>
      </w:r>
      <w:r>
        <w:rPr>
          <w:rFonts w:hint="eastAsia" w:ascii="仿宋" w:hAnsi="仿宋" w:eastAsia="仿宋"/>
          <w:bCs/>
          <w:color w:val="auto"/>
          <w:kern w:val="0"/>
          <w:sz w:val="24"/>
          <w:szCs w:val="24"/>
          <w:highlight w:val="none"/>
        </w:rPr>
        <w:t>：00前分别报送监理</w:t>
      </w:r>
      <w:r>
        <w:rPr>
          <w:rFonts w:hint="eastAsia" w:ascii="仿宋" w:hAnsi="仿宋" w:eastAsia="仿宋"/>
          <w:bCs/>
          <w:color w:val="auto"/>
          <w:kern w:val="0"/>
          <w:sz w:val="24"/>
          <w:szCs w:val="24"/>
          <w:highlight w:val="none"/>
          <w:lang w:val="en-US" w:eastAsia="zh-CN"/>
        </w:rPr>
        <w:t>单位</w:t>
      </w:r>
      <w:r>
        <w:rPr>
          <w:rFonts w:hint="eastAsia" w:ascii="仿宋" w:hAnsi="仿宋" w:eastAsia="仿宋"/>
          <w:bCs/>
          <w:color w:val="auto"/>
          <w:kern w:val="0"/>
          <w:sz w:val="24"/>
          <w:szCs w:val="24"/>
          <w:highlight w:val="none"/>
          <w:lang w:eastAsia="zh-CN"/>
        </w:rPr>
        <w:t>、</w:t>
      </w:r>
      <w:r>
        <w:rPr>
          <w:rFonts w:hint="eastAsia" w:ascii="仿宋" w:hAnsi="仿宋" w:eastAsia="仿宋"/>
          <w:bCs/>
          <w:color w:val="auto"/>
          <w:kern w:val="0"/>
          <w:sz w:val="24"/>
          <w:szCs w:val="24"/>
          <w:highlight w:val="none"/>
          <w:lang w:val="en-US" w:eastAsia="zh-CN"/>
        </w:rPr>
        <w:t>代建管理单位、</w:t>
      </w:r>
      <w:r>
        <w:rPr>
          <w:rFonts w:hint="eastAsia" w:ascii="仿宋" w:hAnsi="仿宋" w:eastAsia="仿宋"/>
          <w:bCs/>
          <w:color w:val="auto"/>
          <w:kern w:val="0"/>
          <w:sz w:val="24"/>
          <w:szCs w:val="24"/>
          <w:highlight w:val="none"/>
          <w:lang w:eastAsia="zh-CN"/>
        </w:rPr>
        <w:t>发包人</w:t>
      </w:r>
      <w:r>
        <w:rPr>
          <w:rFonts w:hint="eastAsia" w:ascii="仿宋" w:hAnsi="仿宋" w:eastAsia="仿宋"/>
          <w:bCs/>
          <w:color w:val="auto"/>
          <w:kern w:val="0"/>
          <w:sz w:val="24"/>
          <w:szCs w:val="24"/>
          <w:highlight w:val="none"/>
        </w:rPr>
        <w:t>。周计划/完成表必须如实反应实际现场进度与计划之间的关系。</w:t>
      </w:r>
    </w:p>
    <w:p w14:paraId="7517991C">
      <w:pPr>
        <w:spacing w:line="360" w:lineRule="auto"/>
        <w:jc w:val="left"/>
        <w:outlineLvl w:val="1"/>
        <w:rPr>
          <w:rFonts w:ascii="仿宋" w:hAnsi="仿宋" w:eastAsia="仿宋"/>
          <w:b/>
          <w:bCs/>
          <w:color w:val="auto"/>
          <w:kern w:val="0"/>
          <w:sz w:val="24"/>
          <w:szCs w:val="24"/>
          <w:highlight w:val="none"/>
        </w:rPr>
      </w:pPr>
      <w:bookmarkStart w:id="9" w:name="_Toc11561"/>
      <w:r>
        <w:rPr>
          <w:rFonts w:hint="eastAsia" w:ascii="仿宋" w:hAnsi="仿宋" w:eastAsia="仿宋"/>
          <w:b/>
          <w:bCs/>
          <w:color w:val="auto"/>
          <w:kern w:val="0"/>
          <w:sz w:val="24"/>
          <w:szCs w:val="24"/>
          <w:highlight w:val="none"/>
        </w:rPr>
        <w:t xml:space="preserve">第二条 </w:t>
      </w:r>
      <w:r>
        <w:rPr>
          <w:rFonts w:ascii="仿宋" w:hAnsi="仿宋" w:eastAsia="仿宋"/>
          <w:b/>
          <w:bCs/>
          <w:color w:val="auto"/>
          <w:kern w:val="0"/>
          <w:sz w:val="24"/>
          <w:szCs w:val="24"/>
          <w:highlight w:val="none"/>
        </w:rPr>
        <w:t xml:space="preserve"> </w:t>
      </w:r>
      <w:r>
        <w:rPr>
          <w:rFonts w:hint="eastAsia" w:ascii="仿宋" w:hAnsi="仿宋" w:eastAsia="仿宋"/>
          <w:b/>
          <w:bCs/>
          <w:color w:val="auto"/>
          <w:kern w:val="0"/>
          <w:sz w:val="24"/>
          <w:szCs w:val="24"/>
          <w:highlight w:val="none"/>
        </w:rPr>
        <w:t>进度方面</w:t>
      </w:r>
      <w:bookmarkEnd w:id="9"/>
    </w:p>
    <w:p w14:paraId="6D7E3ABD">
      <w:pPr>
        <w:pStyle w:val="100"/>
        <w:numPr>
          <w:ilvl w:val="0"/>
          <w:numId w:val="1"/>
        </w:numPr>
        <w:spacing w:line="360" w:lineRule="auto"/>
        <w:ind w:firstLineChars="0"/>
        <w:rPr>
          <w:rFonts w:ascii="仿宋" w:hAnsi="仿宋" w:eastAsia="仿宋"/>
          <w:color w:val="auto"/>
          <w:sz w:val="24"/>
          <w:szCs w:val="24"/>
          <w:highlight w:val="none"/>
        </w:rPr>
      </w:pPr>
      <w:r>
        <w:rPr>
          <w:rFonts w:hint="eastAsia" w:ascii="仿宋" w:hAnsi="仿宋" w:eastAsia="仿宋"/>
          <w:color w:val="auto"/>
          <w:sz w:val="24"/>
          <w:szCs w:val="24"/>
          <w:highlight w:val="none"/>
        </w:rPr>
        <w:t>进度编辑及上报</w:t>
      </w:r>
    </w:p>
    <w:p w14:paraId="3D09F765">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w:t>
      </w:r>
      <w:r>
        <w:rPr>
          <w:rFonts w:hint="eastAsia" w:ascii="仿宋" w:hAnsi="仿宋" w:eastAsia="仿宋"/>
          <w:color w:val="auto"/>
          <w:sz w:val="24"/>
          <w:szCs w:val="24"/>
          <w:highlight w:val="none"/>
          <w:lang w:eastAsia="zh-CN"/>
        </w:rPr>
        <w:t>总承包人</w:t>
      </w:r>
      <w:r>
        <w:rPr>
          <w:rFonts w:ascii="仿宋" w:hAnsi="仿宋" w:eastAsia="仿宋"/>
          <w:color w:val="auto"/>
          <w:sz w:val="24"/>
          <w:szCs w:val="24"/>
          <w:highlight w:val="none"/>
        </w:rPr>
        <w:t>进场后一周内必须根据建设单位的经营节点和总的施工计划</w:t>
      </w:r>
      <w:r>
        <w:rPr>
          <w:rFonts w:hint="eastAsia" w:ascii="仿宋" w:hAnsi="仿宋" w:eastAsia="仿宋"/>
          <w:color w:val="auto"/>
          <w:sz w:val="24"/>
          <w:szCs w:val="24"/>
          <w:highlight w:val="none"/>
        </w:rPr>
        <w:t>，</w:t>
      </w:r>
      <w:r>
        <w:rPr>
          <w:rFonts w:ascii="仿宋" w:hAnsi="仿宋" w:eastAsia="仿宋"/>
          <w:color w:val="auto"/>
          <w:sz w:val="24"/>
          <w:szCs w:val="24"/>
          <w:highlight w:val="none"/>
        </w:rPr>
        <w:t>编制承包工程的总的施工计划</w:t>
      </w:r>
      <w:r>
        <w:rPr>
          <w:rFonts w:hint="eastAsia" w:ascii="仿宋" w:hAnsi="仿宋" w:eastAsia="仿宋"/>
          <w:color w:val="auto"/>
          <w:sz w:val="24"/>
          <w:szCs w:val="24"/>
          <w:highlight w:val="none"/>
        </w:rPr>
        <w:t>、</w:t>
      </w:r>
      <w:r>
        <w:rPr>
          <w:rFonts w:ascii="仿宋" w:hAnsi="仿宋" w:eastAsia="仿宋"/>
          <w:color w:val="auto"/>
          <w:sz w:val="24"/>
          <w:szCs w:val="24"/>
          <w:highlight w:val="none"/>
        </w:rPr>
        <w:t>材料计划</w:t>
      </w:r>
      <w:r>
        <w:rPr>
          <w:rFonts w:hint="eastAsia" w:ascii="仿宋" w:hAnsi="仿宋" w:eastAsia="仿宋"/>
          <w:color w:val="auto"/>
          <w:sz w:val="24"/>
          <w:szCs w:val="24"/>
          <w:highlight w:val="none"/>
        </w:rPr>
        <w:t>、</w:t>
      </w:r>
      <w:r>
        <w:rPr>
          <w:rFonts w:ascii="仿宋" w:hAnsi="仿宋" w:eastAsia="仿宋"/>
          <w:color w:val="auto"/>
          <w:sz w:val="24"/>
          <w:szCs w:val="24"/>
          <w:highlight w:val="none"/>
        </w:rPr>
        <w:t>人员和材料设备投入计划等</w:t>
      </w:r>
      <w:r>
        <w:rPr>
          <w:rFonts w:hint="eastAsia" w:ascii="仿宋" w:hAnsi="仿宋" w:eastAsia="仿宋"/>
          <w:color w:val="auto"/>
          <w:sz w:val="24"/>
          <w:szCs w:val="24"/>
          <w:highlight w:val="none"/>
        </w:rPr>
        <w:t>报</w:t>
      </w:r>
      <w:r>
        <w:rPr>
          <w:rFonts w:hint="eastAsia" w:ascii="仿宋" w:hAnsi="仿宋" w:eastAsia="仿宋"/>
          <w:color w:val="auto"/>
          <w:sz w:val="24"/>
          <w:szCs w:val="24"/>
          <w:highlight w:val="none"/>
          <w:lang w:val="en-US" w:eastAsia="zh-CN"/>
        </w:rPr>
        <w:t>发包人、代建管理单位、</w:t>
      </w:r>
      <w:r>
        <w:rPr>
          <w:rFonts w:hint="eastAsia" w:ascii="仿宋" w:hAnsi="仿宋" w:eastAsia="仿宋"/>
          <w:color w:val="auto"/>
          <w:sz w:val="24"/>
          <w:szCs w:val="24"/>
          <w:highlight w:val="none"/>
        </w:rPr>
        <w:t>监理单位审批。</w:t>
      </w:r>
    </w:p>
    <w:p w14:paraId="32BCED56">
      <w:pPr>
        <w:spacing w:line="360" w:lineRule="auto"/>
        <w:ind w:firstLine="480" w:firstLineChars="200"/>
        <w:rPr>
          <w:rFonts w:ascii="仿宋" w:hAnsi="仿宋" w:eastAsia="仿宋"/>
          <w:color w:val="auto"/>
          <w:sz w:val="24"/>
          <w:szCs w:val="24"/>
          <w:highlight w:val="none"/>
        </w:rPr>
      </w:pPr>
      <w:r>
        <w:rPr>
          <w:rFonts w:ascii="仿宋" w:hAnsi="仿宋" w:eastAsia="仿宋"/>
          <w:color w:val="auto"/>
          <w:sz w:val="24"/>
          <w:szCs w:val="24"/>
          <w:highlight w:val="none"/>
        </w:rPr>
        <w:t>2</w:t>
      </w:r>
      <w:r>
        <w:rPr>
          <w:rFonts w:hint="eastAsia" w:ascii="仿宋" w:hAnsi="仿宋" w:eastAsia="仿宋"/>
          <w:color w:val="auto"/>
          <w:sz w:val="24"/>
          <w:szCs w:val="24"/>
          <w:highlight w:val="none"/>
        </w:rPr>
        <w:t>、每周一上午1</w:t>
      </w:r>
      <w:r>
        <w:rPr>
          <w:rFonts w:ascii="仿宋" w:hAnsi="仿宋" w:eastAsia="仿宋"/>
          <w:color w:val="auto"/>
          <w:sz w:val="24"/>
          <w:szCs w:val="24"/>
          <w:highlight w:val="none"/>
        </w:rPr>
        <w:t>0</w:t>
      </w:r>
      <w:r>
        <w:rPr>
          <w:rFonts w:hint="eastAsia" w:ascii="仿宋" w:hAnsi="仿宋" w:eastAsia="仿宋"/>
          <w:color w:val="auto"/>
          <w:sz w:val="24"/>
          <w:szCs w:val="24"/>
          <w:highlight w:val="none"/>
        </w:rPr>
        <w:t>：00前，</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需按照总施工进度计划和月度施工计划的控制目标编写下周施工计划，同时对上周计划的完成情况进行反馈。</w:t>
      </w:r>
      <w:r>
        <w:rPr>
          <w:rFonts w:hint="eastAsia" w:ascii="仿宋" w:hAnsi="仿宋" w:eastAsia="仿宋"/>
          <w:color w:val="auto"/>
          <w:sz w:val="24"/>
          <w:szCs w:val="24"/>
          <w:highlight w:val="none"/>
          <w:lang w:val="en-US" w:eastAsia="zh-CN"/>
        </w:rPr>
        <w:t>发包人、代建管理单位</w:t>
      </w:r>
      <w:r>
        <w:rPr>
          <w:rFonts w:hint="eastAsia" w:ascii="仿宋" w:hAnsi="仿宋" w:eastAsia="仿宋"/>
          <w:color w:val="auto"/>
          <w:sz w:val="24"/>
          <w:szCs w:val="24"/>
          <w:highlight w:val="none"/>
        </w:rPr>
        <w:t>在收到周进度计划后组织监理单位和相关工程师进行内部评审，并在周一下午的周工程例会上提出调整意见。</w:t>
      </w:r>
    </w:p>
    <w:p w14:paraId="1AD172B6">
      <w:pPr>
        <w:spacing w:line="360" w:lineRule="auto"/>
        <w:ind w:firstLine="480" w:firstLineChars="200"/>
        <w:rPr>
          <w:rFonts w:ascii="仿宋" w:hAnsi="仿宋" w:eastAsia="仿宋"/>
          <w:color w:val="auto"/>
          <w:sz w:val="24"/>
          <w:szCs w:val="24"/>
          <w:highlight w:val="none"/>
        </w:rPr>
      </w:pPr>
      <w:r>
        <w:rPr>
          <w:rFonts w:ascii="仿宋" w:hAnsi="仿宋" w:eastAsia="仿宋"/>
          <w:color w:val="auto"/>
          <w:sz w:val="24"/>
          <w:szCs w:val="24"/>
          <w:highlight w:val="none"/>
        </w:rPr>
        <w:t>3</w:t>
      </w:r>
      <w:r>
        <w:rPr>
          <w:rFonts w:hint="eastAsia" w:ascii="仿宋" w:hAnsi="仿宋" w:eastAsia="仿宋"/>
          <w:color w:val="auto"/>
          <w:sz w:val="24"/>
          <w:szCs w:val="24"/>
          <w:highlight w:val="none"/>
        </w:rPr>
        <w:t>、</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每月24日上报月进度计划，</w:t>
      </w:r>
      <w:r>
        <w:rPr>
          <w:rFonts w:hint="eastAsia" w:ascii="仿宋" w:hAnsi="仿宋" w:eastAsia="仿宋"/>
          <w:color w:val="auto"/>
          <w:sz w:val="24"/>
          <w:szCs w:val="24"/>
          <w:highlight w:val="none"/>
          <w:lang w:val="en-US" w:eastAsia="zh-CN"/>
        </w:rPr>
        <w:t>发包人、代建管理单位</w:t>
      </w:r>
      <w:r>
        <w:rPr>
          <w:rFonts w:hint="eastAsia" w:ascii="仿宋" w:hAnsi="仿宋" w:eastAsia="仿宋"/>
          <w:color w:val="auto"/>
          <w:sz w:val="24"/>
          <w:szCs w:val="24"/>
          <w:highlight w:val="none"/>
        </w:rPr>
        <w:t>可结合总施工计划和现场实际进度对</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上报的计划进行适当的调整，并下发给</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w:t>
      </w:r>
    </w:p>
    <w:p w14:paraId="4F6C1272">
      <w:pPr>
        <w:pStyle w:val="36"/>
        <w:rPr>
          <w:rFonts w:ascii="仿宋" w:hAnsi="仿宋" w:eastAsia="仿宋"/>
          <w:color w:val="auto"/>
          <w:highlight w:val="none"/>
        </w:rPr>
      </w:pPr>
      <w:r>
        <w:rPr>
          <w:rFonts w:hint="eastAsia" w:ascii="仿宋" w:hAnsi="仿宋" w:eastAsia="仿宋"/>
          <w:color w:val="auto"/>
          <w:sz w:val="24"/>
          <w:highlight w:val="none"/>
        </w:rPr>
        <w:t>4、若实际进度过慢并可能影响工程按计划如期完成，总包/专业分包商采取必要的措施加快施工进度，满足总体施工计划，并且需要重新调整专项计划，报</w:t>
      </w:r>
      <w:r>
        <w:rPr>
          <w:rFonts w:hint="eastAsia" w:ascii="仿宋" w:hAnsi="仿宋" w:eastAsia="仿宋"/>
          <w:color w:val="auto"/>
          <w:sz w:val="24"/>
          <w:szCs w:val="24"/>
          <w:highlight w:val="none"/>
          <w:lang w:val="en-US" w:eastAsia="zh-CN"/>
        </w:rPr>
        <w:t>发包人、代建管理单位</w:t>
      </w:r>
      <w:r>
        <w:rPr>
          <w:rFonts w:hint="eastAsia" w:ascii="仿宋" w:hAnsi="仿宋" w:eastAsia="仿宋"/>
          <w:color w:val="auto"/>
          <w:sz w:val="24"/>
          <w:highlight w:val="none"/>
          <w:lang w:eastAsia="zh-CN"/>
        </w:rPr>
        <w:t>、</w:t>
      </w:r>
      <w:r>
        <w:rPr>
          <w:rFonts w:hint="eastAsia" w:ascii="仿宋" w:hAnsi="仿宋" w:eastAsia="仿宋"/>
          <w:color w:val="auto"/>
          <w:sz w:val="24"/>
          <w:highlight w:val="none"/>
        </w:rPr>
        <w:t>监理单位审批，逾期产生的后果，建设单位保留追究责任的权利。</w:t>
      </w:r>
    </w:p>
    <w:p w14:paraId="3A5C6D07">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（二）劳动力、材料、机具设备管理</w:t>
      </w:r>
    </w:p>
    <w:p w14:paraId="6BE98A7F">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1、以周计划汇报的人员、材料、机械设备为依据，现场实际投入的人员、材料、机械与计划相符；</w:t>
      </w:r>
    </w:p>
    <w:p w14:paraId="412F84CA">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2、进入现场的人员（包括管理人员）必须刷卡或刷脸进入现场，以门禁系统显示的各工种人数为准，判定现场施工人员是否满足进度要求；</w:t>
      </w:r>
    </w:p>
    <w:p w14:paraId="68934387">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3、承包单位应实时根据材料进场计划和现场使用的材料的速度、施工进度和现场有材料数量判定材料是否满足工期要求；</w:t>
      </w:r>
    </w:p>
    <w:p w14:paraId="3CD7B156">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4、按施工合同、施工计划投入机械设备，当机械设备不能满足进度要求时，项目部将发函要求增加机械以确保进度如期进行，</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必须按要求执行。</w:t>
      </w:r>
    </w:p>
    <w:p w14:paraId="0078982D">
      <w:pPr>
        <w:spacing w:line="360" w:lineRule="auto"/>
        <w:jc w:val="left"/>
        <w:outlineLvl w:val="1"/>
        <w:rPr>
          <w:rFonts w:ascii="仿宋" w:hAnsi="仿宋" w:eastAsia="仿宋"/>
          <w:b/>
          <w:bCs/>
          <w:color w:val="auto"/>
          <w:kern w:val="0"/>
          <w:sz w:val="24"/>
          <w:szCs w:val="24"/>
          <w:highlight w:val="none"/>
        </w:rPr>
      </w:pPr>
      <w:bookmarkStart w:id="10" w:name="_Toc25370"/>
      <w:r>
        <w:rPr>
          <w:rFonts w:hint="eastAsia" w:ascii="仿宋" w:hAnsi="仿宋" w:eastAsia="仿宋"/>
          <w:b/>
          <w:bCs/>
          <w:color w:val="auto"/>
          <w:kern w:val="0"/>
          <w:sz w:val="24"/>
          <w:szCs w:val="24"/>
          <w:highlight w:val="none"/>
        </w:rPr>
        <w:t xml:space="preserve">第三条 </w:t>
      </w:r>
      <w:r>
        <w:rPr>
          <w:rFonts w:ascii="仿宋" w:hAnsi="仿宋" w:eastAsia="仿宋"/>
          <w:b/>
          <w:bCs/>
          <w:color w:val="auto"/>
          <w:kern w:val="0"/>
          <w:sz w:val="24"/>
          <w:szCs w:val="24"/>
          <w:highlight w:val="none"/>
        </w:rPr>
        <w:t xml:space="preserve"> </w:t>
      </w:r>
      <w:bookmarkEnd w:id="8"/>
      <w:r>
        <w:rPr>
          <w:rFonts w:hint="eastAsia" w:ascii="仿宋" w:hAnsi="仿宋" w:eastAsia="仿宋"/>
          <w:b/>
          <w:bCs/>
          <w:color w:val="auto"/>
          <w:kern w:val="0"/>
          <w:sz w:val="24"/>
          <w:szCs w:val="24"/>
          <w:highlight w:val="none"/>
        </w:rPr>
        <w:t>质量方面</w:t>
      </w:r>
      <w:bookmarkEnd w:id="10"/>
    </w:p>
    <w:p w14:paraId="10277D8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（一）、工作面移交</w:t>
      </w:r>
    </w:p>
    <w:p w14:paraId="73EE29A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各项工序完成施工后，必须通知监理单位对工序进行验收，并组织办理工序移交，工作移交最少三方签字确认，移交方、接收方和监理单位，需采用公司统一表格。</w:t>
      </w:r>
    </w:p>
    <w:p w14:paraId="20B76343">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（二）、材料管理</w:t>
      </w:r>
    </w:p>
    <w:p w14:paraId="66B144F4">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1、需要定样的内容</w:t>
      </w:r>
    </w:p>
    <w:p w14:paraId="00159689">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所有可见工程均应确认样板，包括：外墙砖、外墙石材、门槛石、精装修材料、大堂、电梯厅装修、楼梯间地砖、踢脚、铝合金/塑钢门窗、百叶窗、阳台栏杆、楼梯栏杆、入户门（包括门锁、门碰等）、外墙涂料、园建面层装修、栏杆扶手、烟道、复式钢爬梯、绿化苗木、管井门/防火门、水表箱、配电箱、信报箱、室外灯具等。</w:t>
      </w:r>
      <w:r>
        <w:rPr>
          <w:rFonts w:hint="eastAsia" w:ascii="仿宋" w:hAnsi="仿宋" w:eastAsia="仿宋"/>
          <w:color w:val="auto"/>
          <w:sz w:val="24"/>
          <w:szCs w:val="24"/>
          <w:highlight w:val="none"/>
        </w:rPr>
        <w:cr/>
      </w:r>
      <w:r>
        <w:rPr>
          <w:rFonts w:eastAsia="仿宋" w:cs="Calibri"/>
          <w:color w:val="auto"/>
          <w:sz w:val="24"/>
          <w:szCs w:val="24"/>
          <w:highlight w:val="none"/>
        </w:rPr>
        <w:t>  </w:t>
      </w:r>
      <w:r>
        <w:rPr>
          <w:rFonts w:ascii="仿宋" w:hAnsi="仿宋" w:eastAsia="仿宋" w:cs="Calibri"/>
          <w:color w:val="auto"/>
          <w:sz w:val="24"/>
          <w:szCs w:val="24"/>
          <w:highlight w:val="none"/>
        </w:rPr>
        <w:t xml:space="preserve">   </w:t>
      </w:r>
      <w:r>
        <w:rPr>
          <w:rFonts w:ascii="仿宋" w:hAnsi="仿宋" w:eastAsia="仿宋"/>
          <w:color w:val="auto"/>
          <w:sz w:val="24"/>
          <w:szCs w:val="24"/>
          <w:highlight w:val="none"/>
        </w:rPr>
        <w:t>2</w:t>
      </w:r>
      <w:r>
        <w:rPr>
          <w:rFonts w:hint="eastAsia" w:ascii="仿宋" w:hAnsi="仿宋" w:eastAsia="仿宋"/>
          <w:color w:val="auto"/>
          <w:sz w:val="24"/>
          <w:szCs w:val="24"/>
          <w:highlight w:val="none"/>
        </w:rPr>
        <w:t>、要求</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上报的材料样板需建设单位确认后</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方可下单生产。</w:t>
      </w:r>
    </w:p>
    <w:p w14:paraId="58794961">
      <w:pPr>
        <w:spacing w:line="360" w:lineRule="auto"/>
        <w:ind w:firstLine="480" w:firstLineChars="200"/>
        <w:rPr>
          <w:rFonts w:ascii="仿宋" w:hAnsi="仿宋" w:eastAsia="仿宋" w:cs="宋体"/>
          <w:color w:val="auto"/>
          <w:kern w:val="0"/>
          <w:sz w:val="22"/>
          <w:highlight w:val="none"/>
        </w:rPr>
      </w:pPr>
      <w:r>
        <w:rPr>
          <w:rFonts w:ascii="仿宋" w:hAnsi="仿宋" w:eastAsia="仿宋"/>
          <w:color w:val="auto"/>
          <w:sz w:val="24"/>
          <w:szCs w:val="24"/>
          <w:highlight w:val="none"/>
        </w:rPr>
        <w:t>3</w:t>
      </w:r>
      <w:r>
        <w:rPr>
          <w:rFonts w:hint="eastAsia" w:ascii="仿宋" w:hAnsi="仿宋" w:eastAsia="仿宋"/>
          <w:color w:val="auto"/>
          <w:sz w:val="24"/>
          <w:szCs w:val="24"/>
          <w:highlight w:val="none"/>
        </w:rPr>
        <w:t>、材料进场时，</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应第一时间通知监理</w:t>
      </w:r>
      <w:r>
        <w:rPr>
          <w:rFonts w:hint="eastAsia" w:ascii="仿宋" w:hAnsi="仿宋" w:eastAsia="仿宋"/>
          <w:color w:val="auto"/>
          <w:sz w:val="24"/>
          <w:szCs w:val="24"/>
          <w:highlight w:val="none"/>
          <w:lang w:val="en-US" w:eastAsia="zh-CN"/>
        </w:rPr>
        <w:t>单位</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到场验收，材料验收需要核对材料样板、合同品牌、图纸型号等内容。比如，</w:t>
      </w:r>
      <w:r>
        <w:rPr>
          <w:rFonts w:hint="eastAsia" w:ascii="仿宋" w:hAnsi="仿宋" w:eastAsia="仿宋" w:cs="宋体"/>
          <w:color w:val="auto"/>
          <w:kern w:val="0"/>
          <w:sz w:val="22"/>
          <w:highlight w:val="none"/>
        </w:rPr>
        <w:t>金属型材/管材、成品烟道、通用硅酸盐水泥、防水材料、保温材料、镀锌钢丝网、电缆桥架、轻钢龙骨、墙地砖、涂料、砂石材料、电线、电缆、配电箱、开关、插座、接线盒、给排水主材、洁具五金、厨房电器等</w:t>
      </w:r>
    </w:p>
    <w:p w14:paraId="1DF52A4E">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（三）、样板先行</w:t>
      </w:r>
    </w:p>
    <w:p w14:paraId="448A2EBF">
      <w:pPr>
        <w:spacing w:line="360" w:lineRule="auto"/>
        <w:ind w:left="210" w:leftChars="100" w:firstLine="240" w:firstLineChars="100"/>
        <w:rPr>
          <w:rFonts w:ascii="仿宋" w:hAnsi="仿宋" w:eastAsia="仿宋"/>
          <w:color w:val="auto"/>
          <w:sz w:val="24"/>
          <w:szCs w:val="24"/>
          <w:highlight w:val="none"/>
        </w:rPr>
      </w:pPr>
      <w:r>
        <w:rPr>
          <w:rFonts w:ascii="仿宋" w:hAnsi="仿宋" w:eastAsia="仿宋"/>
          <w:color w:val="auto"/>
          <w:sz w:val="24"/>
          <w:szCs w:val="24"/>
          <w:highlight w:val="none"/>
        </w:rPr>
        <w:t>1</w:t>
      </w:r>
      <w:r>
        <w:rPr>
          <w:rFonts w:hint="eastAsia" w:ascii="仿宋" w:hAnsi="仿宋" w:eastAsia="仿宋"/>
          <w:color w:val="auto"/>
          <w:sz w:val="24"/>
          <w:szCs w:val="24"/>
          <w:highlight w:val="none"/>
        </w:rPr>
        <w:t>、施工样板的确定</w:t>
      </w:r>
    </w:p>
    <w:p w14:paraId="7D9EFAC6">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根据合同规定和国家有关验收规范，在工程开工前针对工程特点和工程要求制定重点分部分项工程质量标准完成施工样板，施工样板验收通过才可进行大面积的施工，质量标准和施工样板共同作为施工检查和验收的依据。</w:t>
      </w:r>
    </w:p>
    <w:p w14:paraId="765D5FA6">
      <w:pPr>
        <w:spacing w:line="360" w:lineRule="auto"/>
        <w:ind w:firstLine="480" w:firstLineChars="200"/>
        <w:rPr>
          <w:rFonts w:ascii="仿宋" w:hAnsi="仿宋" w:eastAsia="仿宋"/>
          <w:color w:val="auto"/>
          <w:sz w:val="24"/>
          <w:szCs w:val="24"/>
          <w:highlight w:val="none"/>
        </w:rPr>
      </w:pPr>
      <w:r>
        <w:rPr>
          <w:rFonts w:ascii="仿宋" w:hAnsi="仿宋" w:eastAsia="仿宋"/>
          <w:color w:val="auto"/>
          <w:sz w:val="24"/>
          <w:szCs w:val="24"/>
          <w:highlight w:val="none"/>
        </w:rPr>
        <w:t>2</w:t>
      </w:r>
      <w:r>
        <w:rPr>
          <w:rFonts w:hint="eastAsia" w:ascii="仿宋" w:hAnsi="仿宋" w:eastAsia="仿宋"/>
          <w:color w:val="auto"/>
          <w:sz w:val="24"/>
          <w:szCs w:val="24"/>
          <w:highlight w:val="none"/>
        </w:rPr>
        <w:t>、实体样板时限及范围要求</w:t>
      </w:r>
    </w:p>
    <w:p w14:paraId="560F827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每道工序之前严格进行技术交底，并落实到劳务。样板带路，过程把控，严格执行。以下工程（工序）在大面积施工前，</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必须进行样板施工。</w:t>
      </w:r>
    </w:p>
    <w:tbl>
      <w:tblPr>
        <w:tblStyle w:val="37"/>
        <w:tblpPr w:leftFromText="180" w:rightFromText="180" w:vertAnchor="text" w:tblpXSpec="center" w:tblpY="1"/>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02"/>
        <w:gridCol w:w="2305"/>
        <w:gridCol w:w="2550"/>
        <w:gridCol w:w="765"/>
      </w:tblGrid>
      <w:tr w14:paraId="37442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8528" w:type="dxa"/>
            <w:gridSpan w:val="4"/>
            <w:vAlign w:val="center"/>
          </w:tcPr>
          <w:p w14:paraId="081987EF">
            <w:pPr>
              <w:jc w:val="center"/>
              <w:rPr>
                <w:rFonts w:ascii="仿宋" w:hAnsi="仿宋" w:eastAsia="仿宋"/>
                <w:b/>
                <w:color w:val="auto"/>
                <w:sz w:val="24"/>
                <w:szCs w:val="24"/>
                <w:highlight w:val="none"/>
              </w:rPr>
            </w:pPr>
            <w:r>
              <w:rPr>
                <w:rFonts w:hint="eastAsia" w:ascii="仿宋" w:hAnsi="仿宋" w:eastAsia="仿宋"/>
                <w:b/>
                <w:bCs/>
                <w:color w:val="auto"/>
                <w:sz w:val="24"/>
                <w:szCs w:val="24"/>
                <w:highlight w:val="none"/>
              </w:rPr>
              <w:t>实体样板时限及范围要求</w:t>
            </w:r>
          </w:p>
        </w:tc>
      </w:tr>
      <w:tr w14:paraId="713FC5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trPr>
        <w:tc>
          <w:tcPr>
            <w:tcW w:w="2904" w:type="dxa"/>
            <w:vAlign w:val="center"/>
          </w:tcPr>
          <w:p w14:paraId="133405B8">
            <w:pPr>
              <w:jc w:val="center"/>
              <w:rPr>
                <w:rFonts w:ascii="仿宋" w:hAnsi="仿宋" w:eastAsia="仿宋"/>
                <w:color w:val="auto"/>
                <w:szCs w:val="24"/>
                <w:highlight w:val="none"/>
              </w:rPr>
            </w:pPr>
            <w:r>
              <w:rPr>
                <w:rFonts w:hint="eastAsia" w:ascii="仿宋" w:hAnsi="仿宋" w:eastAsia="仿宋"/>
                <w:color w:val="auto"/>
                <w:szCs w:val="24"/>
                <w:highlight w:val="none"/>
              </w:rPr>
              <w:t>工程样板类别</w:t>
            </w:r>
          </w:p>
        </w:tc>
        <w:tc>
          <w:tcPr>
            <w:tcW w:w="2307" w:type="dxa"/>
            <w:vAlign w:val="center"/>
          </w:tcPr>
          <w:p w14:paraId="59C666DD">
            <w:pPr>
              <w:jc w:val="center"/>
              <w:rPr>
                <w:rFonts w:ascii="仿宋" w:hAnsi="仿宋" w:eastAsia="仿宋"/>
                <w:color w:val="auto"/>
                <w:szCs w:val="24"/>
                <w:highlight w:val="none"/>
              </w:rPr>
            </w:pPr>
            <w:r>
              <w:rPr>
                <w:rFonts w:hint="eastAsia" w:ascii="仿宋" w:hAnsi="仿宋" w:eastAsia="仿宋"/>
                <w:color w:val="auto"/>
                <w:szCs w:val="24"/>
                <w:highlight w:val="none"/>
              </w:rPr>
              <w:t>各类样板完成时限</w:t>
            </w:r>
          </w:p>
        </w:tc>
        <w:tc>
          <w:tcPr>
            <w:tcW w:w="2552" w:type="dxa"/>
            <w:vAlign w:val="center"/>
          </w:tcPr>
          <w:p w14:paraId="44C67C46">
            <w:pPr>
              <w:jc w:val="center"/>
              <w:rPr>
                <w:rFonts w:ascii="仿宋" w:hAnsi="仿宋" w:eastAsia="仿宋"/>
                <w:color w:val="auto"/>
                <w:szCs w:val="24"/>
                <w:highlight w:val="none"/>
              </w:rPr>
            </w:pPr>
            <w:r>
              <w:rPr>
                <w:rFonts w:hint="eastAsia" w:ascii="仿宋" w:hAnsi="仿宋" w:eastAsia="仿宋"/>
                <w:color w:val="auto"/>
                <w:szCs w:val="24"/>
                <w:highlight w:val="none"/>
              </w:rPr>
              <w:t>样板范围要求</w:t>
            </w:r>
          </w:p>
        </w:tc>
        <w:tc>
          <w:tcPr>
            <w:tcW w:w="765" w:type="dxa"/>
            <w:vAlign w:val="center"/>
          </w:tcPr>
          <w:p w14:paraId="3ADDE70A">
            <w:pPr>
              <w:jc w:val="left"/>
              <w:rPr>
                <w:rFonts w:ascii="仿宋" w:hAnsi="仿宋" w:eastAsia="仿宋"/>
                <w:color w:val="auto"/>
                <w:szCs w:val="24"/>
                <w:highlight w:val="none"/>
              </w:rPr>
            </w:pPr>
            <w:r>
              <w:rPr>
                <w:rFonts w:hint="eastAsia" w:ascii="仿宋" w:hAnsi="仿宋" w:eastAsia="仿宋"/>
                <w:color w:val="auto"/>
                <w:szCs w:val="24"/>
                <w:highlight w:val="none"/>
              </w:rPr>
              <w:t>备注</w:t>
            </w:r>
          </w:p>
        </w:tc>
      </w:tr>
      <w:tr w14:paraId="64156B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04" w:type="dxa"/>
            <w:vAlign w:val="center"/>
          </w:tcPr>
          <w:p w14:paraId="2B2B92C8">
            <w:pPr>
              <w:jc w:val="center"/>
              <w:rPr>
                <w:rFonts w:ascii="仿宋" w:hAnsi="仿宋" w:eastAsia="仿宋"/>
                <w:color w:val="auto"/>
                <w:szCs w:val="24"/>
                <w:highlight w:val="none"/>
              </w:rPr>
            </w:pPr>
            <w:r>
              <w:rPr>
                <w:rFonts w:hint="eastAsia" w:ascii="仿宋" w:hAnsi="仿宋" w:eastAsia="仿宋"/>
                <w:color w:val="auto"/>
                <w:szCs w:val="24"/>
                <w:highlight w:val="none"/>
              </w:rPr>
              <w:t>工法样板（钢筋工程、模板工程、混凝土工程、屋面工程、砌体工程、抹灰工程、给排水工程、水电开槽预埋）</w:t>
            </w:r>
          </w:p>
        </w:tc>
        <w:tc>
          <w:tcPr>
            <w:tcW w:w="2307" w:type="dxa"/>
            <w:vAlign w:val="center"/>
          </w:tcPr>
          <w:p w14:paraId="73F6ED77">
            <w:pPr>
              <w:jc w:val="center"/>
              <w:rPr>
                <w:rFonts w:ascii="仿宋" w:hAnsi="仿宋" w:eastAsia="仿宋"/>
                <w:color w:val="auto"/>
                <w:szCs w:val="24"/>
                <w:highlight w:val="none"/>
              </w:rPr>
            </w:pPr>
            <w:r>
              <w:rPr>
                <w:rFonts w:hint="eastAsia" w:ascii="仿宋" w:hAnsi="仿宋" w:eastAsia="仿宋"/>
                <w:color w:val="auto"/>
                <w:szCs w:val="24"/>
                <w:highlight w:val="none"/>
                <w:lang w:eastAsia="zh-CN"/>
              </w:rPr>
              <w:t>总承包人</w:t>
            </w:r>
            <w:r>
              <w:rPr>
                <w:rFonts w:hint="eastAsia" w:ascii="仿宋" w:hAnsi="仿宋" w:eastAsia="仿宋"/>
                <w:color w:val="auto"/>
                <w:szCs w:val="24"/>
                <w:highlight w:val="none"/>
              </w:rPr>
              <w:t>进场后3个月内</w:t>
            </w:r>
          </w:p>
        </w:tc>
        <w:tc>
          <w:tcPr>
            <w:tcW w:w="2552" w:type="dxa"/>
            <w:vAlign w:val="center"/>
          </w:tcPr>
          <w:p w14:paraId="7C3BDB47">
            <w:pPr>
              <w:jc w:val="center"/>
              <w:rPr>
                <w:rFonts w:ascii="仿宋" w:hAnsi="仿宋" w:eastAsia="仿宋"/>
                <w:color w:val="auto"/>
                <w:szCs w:val="24"/>
                <w:highlight w:val="none"/>
              </w:rPr>
            </w:pPr>
            <w:r>
              <w:rPr>
                <w:rFonts w:hint="eastAsia" w:ascii="仿宋" w:hAnsi="仿宋" w:eastAsia="仿宋"/>
                <w:color w:val="auto"/>
                <w:szCs w:val="24"/>
                <w:highlight w:val="none"/>
              </w:rPr>
              <w:t>异地或楼层</w:t>
            </w:r>
          </w:p>
        </w:tc>
        <w:tc>
          <w:tcPr>
            <w:tcW w:w="765" w:type="dxa"/>
            <w:vAlign w:val="center"/>
          </w:tcPr>
          <w:p w14:paraId="3F4016CB">
            <w:pPr>
              <w:jc w:val="center"/>
              <w:rPr>
                <w:rFonts w:ascii="仿宋" w:hAnsi="仿宋" w:eastAsia="仿宋"/>
                <w:color w:val="auto"/>
                <w:szCs w:val="24"/>
                <w:highlight w:val="none"/>
              </w:rPr>
            </w:pPr>
          </w:p>
        </w:tc>
      </w:tr>
      <w:tr w14:paraId="47317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2904" w:type="dxa"/>
            <w:vAlign w:val="center"/>
          </w:tcPr>
          <w:p w14:paraId="1EBF6769">
            <w:pPr>
              <w:jc w:val="center"/>
              <w:rPr>
                <w:rFonts w:ascii="仿宋" w:hAnsi="仿宋" w:eastAsia="仿宋"/>
                <w:color w:val="auto"/>
                <w:szCs w:val="24"/>
                <w:highlight w:val="none"/>
              </w:rPr>
            </w:pPr>
            <w:r>
              <w:rPr>
                <w:rFonts w:hint="eastAsia" w:ascii="仿宋" w:hAnsi="仿宋" w:eastAsia="仿宋"/>
                <w:color w:val="auto"/>
                <w:szCs w:val="24"/>
                <w:highlight w:val="none"/>
              </w:rPr>
              <w:t>砌筑工程</w:t>
            </w:r>
          </w:p>
        </w:tc>
        <w:tc>
          <w:tcPr>
            <w:tcW w:w="2307" w:type="dxa"/>
            <w:vAlign w:val="center"/>
          </w:tcPr>
          <w:p w14:paraId="4F19D93A">
            <w:pPr>
              <w:jc w:val="center"/>
              <w:rPr>
                <w:rFonts w:ascii="仿宋" w:hAnsi="仿宋" w:eastAsia="仿宋"/>
                <w:color w:val="auto"/>
                <w:szCs w:val="24"/>
                <w:highlight w:val="none"/>
              </w:rPr>
            </w:pPr>
            <w:r>
              <w:rPr>
                <w:rFonts w:hint="eastAsia" w:ascii="仿宋" w:hAnsi="仿宋" w:eastAsia="仿宋"/>
                <w:color w:val="auto"/>
                <w:szCs w:val="24"/>
                <w:highlight w:val="none"/>
              </w:rPr>
              <w:t>砌体施工前</w:t>
            </w:r>
          </w:p>
        </w:tc>
        <w:tc>
          <w:tcPr>
            <w:tcW w:w="2552" w:type="dxa"/>
            <w:vAlign w:val="center"/>
          </w:tcPr>
          <w:p w14:paraId="26F8FBA6">
            <w:pPr>
              <w:jc w:val="center"/>
              <w:rPr>
                <w:rFonts w:ascii="仿宋" w:hAnsi="仿宋" w:eastAsia="仿宋"/>
                <w:color w:val="auto"/>
                <w:szCs w:val="24"/>
                <w:highlight w:val="none"/>
              </w:rPr>
            </w:pPr>
            <w:r>
              <w:rPr>
                <w:rFonts w:hint="eastAsia" w:ascii="仿宋" w:hAnsi="仿宋" w:eastAsia="仿宋"/>
                <w:color w:val="auto"/>
                <w:szCs w:val="24"/>
                <w:highlight w:val="none"/>
              </w:rPr>
              <w:t>楼层</w:t>
            </w:r>
          </w:p>
        </w:tc>
        <w:tc>
          <w:tcPr>
            <w:tcW w:w="765" w:type="dxa"/>
            <w:vAlign w:val="center"/>
          </w:tcPr>
          <w:p w14:paraId="398168E6">
            <w:pPr>
              <w:jc w:val="center"/>
              <w:rPr>
                <w:rFonts w:ascii="仿宋" w:hAnsi="仿宋" w:eastAsia="仿宋"/>
                <w:color w:val="auto"/>
                <w:szCs w:val="24"/>
                <w:highlight w:val="none"/>
              </w:rPr>
            </w:pPr>
          </w:p>
        </w:tc>
      </w:tr>
      <w:tr w14:paraId="6BC0C3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trPr>
        <w:tc>
          <w:tcPr>
            <w:tcW w:w="2904" w:type="dxa"/>
            <w:vAlign w:val="center"/>
          </w:tcPr>
          <w:p w14:paraId="1217881D">
            <w:pPr>
              <w:jc w:val="center"/>
              <w:rPr>
                <w:rFonts w:ascii="仿宋" w:hAnsi="仿宋" w:eastAsia="仿宋"/>
                <w:color w:val="auto"/>
                <w:szCs w:val="24"/>
                <w:highlight w:val="none"/>
              </w:rPr>
            </w:pPr>
            <w:r>
              <w:rPr>
                <w:rFonts w:hint="eastAsia" w:ascii="仿宋" w:hAnsi="仿宋" w:eastAsia="仿宋"/>
                <w:color w:val="auto"/>
                <w:szCs w:val="24"/>
                <w:highlight w:val="none"/>
              </w:rPr>
              <w:t>水电二次预埋</w:t>
            </w:r>
          </w:p>
        </w:tc>
        <w:tc>
          <w:tcPr>
            <w:tcW w:w="2307" w:type="dxa"/>
            <w:vAlign w:val="center"/>
          </w:tcPr>
          <w:p w14:paraId="6E49E587">
            <w:pPr>
              <w:jc w:val="center"/>
              <w:rPr>
                <w:rFonts w:ascii="仿宋" w:hAnsi="仿宋" w:eastAsia="仿宋"/>
                <w:color w:val="auto"/>
                <w:szCs w:val="24"/>
                <w:highlight w:val="none"/>
              </w:rPr>
            </w:pPr>
            <w:r>
              <w:rPr>
                <w:rFonts w:hint="eastAsia" w:ascii="仿宋" w:hAnsi="仿宋" w:eastAsia="仿宋"/>
                <w:color w:val="auto"/>
                <w:szCs w:val="24"/>
                <w:highlight w:val="none"/>
              </w:rPr>
              <w:t>砌体样板完成后15天内</w:t>
            </w:r>
          </w:p>
        </w:tc>
        <w:tc>
          <w:tcPr>
            <w:tcW w:w="2552" w:type="dxa"/>
            <w:vAlign w:val="center"/>
          </w:tcPr>
          <w:p w14:paraId="42621EBE">
            <w:pPr>
              <w:jc w:val="center"/>
              <w:rPr>
                <w:rFonts w:ascii="仿宋" w:hAnsi="仿宋" w:eastAsia="仿宋"/>
                <w:color w:val="auto"/>
                <w:szCs w:val="24"/>
                <w:highlight w:val="none"/>
              </w:rPr>
            </w:pPr>
            <w:r>
              <w:rPr>
                <w:rFonts w:hint="eastAsia" w:ascii="仿宋" w:hAnsi="仿宋" w:eastAsia="仿宋"/>
                <w:color w:val="auto"/>
                <w:szCs w:val="24"/>
                <w:highlight w:val="none"/>
              </w:rPr>
              <w:t>最少一套样板房</w:t>
            </w:r>
          </w:p>
        </w:tc>
        <w:tc>
          <w:tcPr>
            <w:tcW w:w="765" w:type="dxa"/>
            <w:vAlign w:val="center"/>
          </w:tcPr>
          <w:p w14:paraId="63BD2DC3">
            <w:pPr>
              <w:jc w:val="center"/>
              <w:rPr>
                <w:rFonts w:ascii="仿宋" w:hAnsi="仿宋" w:eastAsia="仿宋"/>
                <w:color w:val="auto"/>
                <w:szCs w:val="24"/>
                <w:highlight w:val="none"/>
              </w:rPr>
            </w:pPr>
          </w:p>
        </w:tc>
      </w:tr>
      <w:tr w14:paraId="615CA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trPr>
        <w:tc>
          <w:tcPr>
            <w:tcW w:w="2904" w:type="dxa"/>
            <w:vAlign w:val="center"/>
          </w:tcPr>
          <w:p w14:paraId="3DE1C41A">
            <w:pPr>
              <w:jc w:val="center"/>
              <w:rPr>
                <w:rFonts w:ascii="仿宋" w:hAnsi="仿宋" w:eastAsia="仿宋"/>
                <w:color w:val="auto"/>
                <w:szCs w:val="24"/>
                <w:highlight w:val="none"/>
              </w:rPr>
            </w:pPr>
            <w:r>
              <w:rPr>
                <w:rFonts w:hint="eastAsia" w:ascii="仿宋" w:hAnsi="仿宋" w:eastAsia="仿宋"/>
                <w:color w:val="auto"/>
                <w:szCs w:val="24"/>
                <w:highlight w:val="none"/>
              </w:rPr>
              <w:t>抹灰样板</w:t>
            </w:r>
          </w:p>
        </w:tc>
        <w:tc>
          <w:tcPr>
            <w:tcW w:w="2307" w:type="dxa"/>
            <w:vAlign w:val="center"/>
          </w:tcPr>
          <w:p w14:paraId="168C109D">
            <w:pPr>
              <w:jc w:val="center"/>
              <w:rPr>
                <w:rFonts w:ascii="仿宋" w:hAnsi="仿宋" w:eastAsia="仿宋"/>
                <w:color w:val="auto"/>
                <w:szCs w:val="24"/>
                <w:highlight w:val="none"/>
              </w:rPr>
            </w:pPr>
            <w:r>
              <w:rPr>
                <w:rFonts w:hint="eastAsia" w:ascii="仿宋" w:hAnsi="仿宋" w:eastAsia="仿宋"/>
                <w:color w:val="auto"/>
                <w:szCs w:val="24"/>
                <w:highlight w:val="none"/>
              </w:rPr>
              <w:t>二次预埋样板完成15天内</w:t>
            </w:r>
          </w:p>
        </w:tc>
        <w:tc>
          <w:tcPr>
            <w:tcW w:w="2552" w:type="dxa"/>
            <w:vAlign w:val="center"/>
          </w:tcPr>
          <w:p w14:paraId="792C43C5">
            <w:pPr>
              <w:jc w:val="center"/>
              <w:rPr>
                <w:rFonts w:ascii="仿宋" w:hAnsi="仿宋" w:eastAsia="仿宋"/>
                <w:b/>
                <w:color w:val="auto"/>
                <w:szCs w:val="24"/>
                <w:highlight w:val="none"/>
              </w:rPr>
            </w:pPr>
            <w:r>
              <w:rPr>
                <w:rFonts w:hint="eastAsia" w:ascii="仿宋" w:hAnsi="仿宋" w:eastAsia="仿宋"/>
                <w:color w:val="auto"/>
                <w:szCs w:val="24"/>
                <w:highlight w:val="none"/>
              </w:rPr>
              <w:t>最少一套样板房、楼层</w:t>
            </w:r>
          </w:p>
        </w:tc>
        <w:tc>
          <w:tcPr>
            <w:tcW w:w="765" w:type="dxa"/>
            <w:vAlign w:val="center"/>
          </w:tcPr>
          <w:p w14:paraId="3D229AA9">
            <w:pPr>
              <w:jc w:val="center"/>
              <w:rPr>
                <w:rFonts w:ascii="仿宋" w:hAnsi="仿宋" w:eastAsia="仿宋"/>
                <w:color w:val="auto"/>
                <w:szCs w:val="24"/>
                <w:highlight w:val="none"/>
              </w:rPr>
            </w:pPr>
          </w:p>
        </w:tc>
      </w:tr>
      <w:tr w14:paraId="578721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trPr>
        <w:tc>
          <w:tcPr>
            <w:tcW w:w="2904" w:type="dxa"/>
            <w:vAlign w:val="center"/>
          </w:tcPr>
          <w:p w14:paraId="652C6194">
            <w:pPr>
              <w:jc w:val="center"/>
              <w:rPr>
                <w:rFonts w:ascii="仿宋" w:hAnsi="仿宋" w:eastAsia="仿宋"/>
                <w:color w:val="auto"/>
                <w:szCs w:val="24"/>
                <w:highlight w:val="none"/>
              </w:rPr>
            </w:pPr>
            <w:r>
              <w:rPr>
                <w:rFonts w:hint="eastAsia" w:ascii="仿宋" w:hAnsi="仿宋" w:eastAsia="仿宋"/>
                <w:color w:val="auto"/>
                <w:szCs w:val="24"/>
                <w:highlight w:val="none"/>
              </w:rPr>
              <w:t>防水施工</w:t>
            </w:r>
          </w:p>
        </w:tc>
        <w:tc>
          <w:tcPr>
            <w:tcW w:w="2307" w:type="dxa"/>
            <w:vAlign w:val="center"/>
          </w:tcPr>
          <w:p w14:paraId="68165595">
            <w:pPr>
              <w:jc w:val="center"/>
              <w:rPr>
                <w:rFonts w:ascii="仿宋" w:hAnsi="仿宋" w:eastAsia="仿宋"/>
                <w:color w:val="auto"/>
                <w:szCs w:val="24"/>
                <w:highlight w:val="none"/>
              </w:rPr>
            </w:pPr>
            <w:r>
              <w:rPr>
                <w:rFonts w:hint="eastAsia" w:ascii="仿宋" w:hAnsi="仿宋" w:eastAsia="仿宋"/>
                <w:color w:val="auto"/>
                <w:szCs w:val="24"/>
                <w:highlight w:val="none"/>
              </w:rPr>
              <w:t>防水大面积施工前</w:t>
            </w:r>
          </w:p>
        </w:tc>
        <w:tc>
          <w:tcPr>
            <w:tcW w:w="2552" w:type="dxa"/>
            <w:vAlign w:val="center"/>
          </w:tcPr>
          <w:p w14:paraId="0D1630CA">
            <w:pPr>
              <w:jc w:val="center"/>
              <w:rPr>
                <w:rFonts w:ascii="仿宋" w:hAnsi="仿宋" w:eastAsia="仿宋"/>
                <w:color w:val="auto"/>
                <w:szCs w:val="24"/>
                <w:highlight w:val="none"/>
              </w:rPr>
            </w:pPr>
            <w:r>
              <w:rPr>
                <w:rFonts w:hint="eastAsia" w:ascii="仿宋" w:hAnsi="仿宋" w:eastAsia="仿宋"/>
                <w:color w:val="auto"/>
                <w:szCs w:val="24"/>
                <w:highlight w:val="none"/>
              </w:rPr>
              <w:t>一个施工标段、楼层</w:t>
            </w:r>
          </w:p>
        </w:tc>
        <w:tc>
          <w:tcPr>
            <w:tcW w:w="765" w:type="dxa"/>
            <w:vAlign w:val="center"/>
          </w:tcPr>
          <w:p w14:paraId="149E7B41">
            <w:pPr>
              <w:jc w:val="center"/>
              <w:rPr>
                <w:rFonts w:ascii="仿宋" w:hAnsi="仿宋" w:eastAsia="仿宋"/>
                <w:color w:val="auto"/>
                <w:szCs w:val="24"/>
                <w:highlight w:val="none"/>
              </w:rPr>
            </w:pPr>
          </w:p>
        </w:tc>
      </w:tr>
      <w:tr w14:paraId="73ADC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trPr>
        <w:tc>
          <w:tcPr>
            <w:tcW w:w="2904" w:type="dxa"/>
            <w:vAlign w:val="center"/>
          </w:tcPr>
          <w:p w14:paraId="598C1401">
            <w:pPr>
              <w:jc w:val="center"/>
              <w:rPr>
                <w:rFonts w:ascii="仿宋" w:hAnsi="仿宋" w:eastAsia="仿宋"/>
                <w:color w:val="auto"/>
                <w:szCs w:val="24"/>
                <w:highlight w:val="none"/>
              </w:rPr>
            </w:pPr>
            <w:r>
              <w:rPr>
                <w:rFonts w:hint="eastAsia" w:ascii="仿宋" w:hAnsi="仿宋" w:eastAsia="仿宋"/>
                <w:color w:val="auto"/>
                <w:szCs w:val="24"/>
                <w:highlight w:val="none"/>
              </w:rPr>
              <w:t>入户门</w:t>
            </w:r>
          </w:p>
        </w:tc>
        <w:tc>
          <w:tcPr>
            <w:tcW w:w="2307" w:type="dxa"/>
            <w:vAlign w:val="center"/>
          </w:tcPr>
          <w:p w14:paraId="7504865E">
            <w:pPr>
              <w:jc w:val="center"/>
              <w:rPr>
                <w:rFonts w:ascii="仿宋" w:hAnsi="仿宋" w:eastAsia="仿宋"/>
                <w:color w:val="auto"/>
                <w:szCs w:val="24"/>
                <w:highlight w:val="none"/>
              </w:rPr>
            </w:pPr>
            <w:r>
              <w:rPr>
                <w:rFonts w:hint="eastAsia" w:ascii="仿宋" w:hAnsi="仿宋" w:eastAsia="仿宋"/>
                <w:color w:val="auto"/>
                <w:szCs w:val="24"/>
                <w:highlight w:val="none"/>
              </w:rPr>
              <w:t>入户门大面积施工前</w:t>
            </w:r>
          </w:p>
        </w:tc>
        <w:tc>
          <w:tcPr>
            <w:tcW w:w="2552" w:type="dxa"/>
            <w:vAlign w:val="center"/>
          </w:tcPr>
          <w:p w14:paraId="1A1C0885">
            <w:pPr>
              <w:jc w:val="center"/>
              <w:rPr>
                <w:rFonts w:ascii="仿宋" w:hAnsi="仿宋" w:eastAsia="仿宋"/>
                <w:color w:val="auto"/>
                <w:highlight w:val="none"/>
              </w:rPr>
            </w:pPr>
            <w:r>
              <w:rPr>
                <w:rFonts w:hint="eastAsia" w:ascii="仿宋" w:hAnsi="仿宋" w:eastAsia="仿宋"/>
                <w:color w:val="auto"/>
                <w:szCs w:val="24"/>
                <w:highlight w:val="none"/>
              </w:rPr>
              <w:t>最少一套样板房、楼层</w:t>
            </w:r>
          </w:p>
        </w:tc>
        <w:tc>
          <w:tcPr>
            <w:tcW w:w="765" w:type="dxa"/>
            <w:vAlign w:val="center"/>
          </w:tcPr>
          <w:p w14:paraId="7D1371A9">
            <w:pPr>
              <w:jc w:val="center"/>
              <w:rPr>
                <w:rFonts w:ascii="仿宋" w:hAnsi="仿宋" w:eastAsia="仿宋"/>
                <w:color w:val="auto"/>
                <w:szCs w:val="24"/>
                <w:highlight w:val="none"/>
              </w:rPr>
            </w:pPr>
          </w:p>
        </w:tc>
      </w:tr>
      <w:tr w14:paraId="6869F1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trPr>
        <w:tc>
          <w:tcPr>
            <w:tcW w:w="2904" w:type="dxa"/>
            <w:vAlign w:val="center"/>
          </w:tcPr>
          <w:p w14:paraId="67914AFB">
            <w:pPr>
              <w:jc w:val="center"/>
              <w:rPr>
                <w:rFonts w:ascii="仿宋" w:hAnsi="仿宋" w:eastAsia="仿宋"/>
                <w:color w:val="auto"/>
                <w:szCs w:val="24"/>
                <w:highlight w:val="none"/>
              </w:rPr>
            </w:pPr>
            <w:r>
              <w:rPr>
                <w:rFonts w:hint="eastAsia" w:ascii="仿宋" w:hAnsi="仿宋" w:eastAsia="仿宋"/>
                <w:color w:val="auto"/>
                <w:szCs w:val="24"/>
                <w:highlight w:val="none"/>
              </w:rPr>
              <w:t>栏杆安装</w:t>
            </w:r>
          </w:p>
        </w:tc>
        <w:tc>
          <w:tcPr>
            <w:tcW w:w="2307" w:type="dxa"/>
            <w:vAlign w:val="center"/>
          </w:tcPr>
          <w:p w14:paraId="60AE9662">
            <w:pPr>
              <w:jc w:val="center"/>
              <w:rPr>
                <w:rFonts w:ascii="仿宋" w:hAnsi="仿宋" w:eastAsia="仿宋"/>
                <w:color w:val="auto"/>
                <w:szCs w:val="24"/>
                <w:highlight w:val="none"/>
              </w:rPr>
            </w:pPr>
            <w:r>
              <w:rPr>
                <w:rFonts w:hint="eastAsia" w:ascii="仿宋" w:hAnsi="仿宋" w:eastAsia="仿宋"/>
                <w:color w:val="auto"/>
                <w:szCs w:val="24"/>
                <w:highlight w:val="none"/>
              </w:rPr>
              <w:t>栏杆大面积施工前</w:t>
            </w:r>
          </w:p>
        </w:tc>
        <w:tc>
          <w:tcPr>
            <w:tcW w:w="2552" w:type="dxa"/>
            <w:vAlign w:val="center"/>
          </w:tcPr>
          <w:p w14:paraId="58E9601E">
            <w:pPr>
              <w:jc w:val="center"/>
              <w:rPr>
                <w:rFonts w:ascii="仿宋" w:hAnsi="仿宋" w:eastAsia="仿宋"/>
                <w:color w:val="auto"/>
                <w:highlight w:val="none"/>
              </w:rPr>
            </w:pPr>
            <w:r>
              <w:rPr>
                <w:rFonts w:hint="eastAsia" w:ascii="仿宋" w:hAnsi="仿宋" w:eastAsia="仿宋"/>
                <w:color w:val="auto"/>
                <w:szCs w:val="24"/>
                <w:highlight w:val="none"/>
              </w:rPr>
              <w:t>最少一套样板房、楼层</w:t>
            </w:r>
          </w:p>
        </w:tc>
        <w:tc>
          <w:tcPr>
            <w:tcW w:w="765" w:type="dxa"/>
            <w:vAlign w:val="center"/>
          </w:tcPr>
          <w:p w14:paraId="7E22BA06">
            <w:pPr>
              <w:jc w:val="center"/>
              <w:rPr>
                <w:rFonts w:ascii="仿宋" w:hAnsi="仿宋" w:eastAsia="仿宋"/>
                <w:color w:val="auto"/>
                <w:szCs w:val="24"/>
                <w:highlight w:val="none"/>
              </w:rPr>
            </w:pPr>
          </w:p>
        </w:tc>
      </w:tr>
      <w:tr w14:paraId="2530B6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trPr>
        <w:tc>
          <w:tcPr>
            <w:tcW w:w="2904" w:type="dxa"/>
            <w:vAlign w:val="center"/>
          </w:tcPr>
          <w:p w14:paraId="1D86A05E">
            <w:pPr>
              <w:jc w:val="center"/>
              <w:rPr>
                <w:rFonts w:ascii="仿宋" w:hAnsi="仿宋" w:eastAsia="仿宋"/>
                <w:color w:val="auto"/>
                <w:szCs w:val="24"/>
                <w:highlight w:val="none"/>
              </w:rPr>
            </w:pPr>
            <w:r>
              <w:rPr>
                <w:rFonts w:hint="eastAsia" w:ascii="仿宋" w:hAnsi="仿宋" w:eastAsia="仿宋"/>
                <w:color w:val="auto"/>
                <w:szCs w:val="24"/>
                <w:highlight w:val="none"/>
              </w:rPr>
              <w:t>外墙装饰工程（如铝板、涂料、石材、玻璃等）</w:t>
            </w:r>
          </w:p>
        </w:tc>
        <w:tc>
          <w:tcPr>
            <w:tcW w:w="2307" w:type="dxa"/>
            <w:vAlign w:val="center"/>
          </w:tcPr>
          <w:p w14:paraId="21988D3B">
            <w:pPr>
              <w:jc w:val="center"/>
              <w:rPr>
                <w:rFonts w:ascii="仿宋" w:hAnsi="仿宋" w:eastAsia="仿宋"/>
                <w:color w:val="auto"/>
                <w:szCs w:val="24"/>
                <w:highlight w:val="none"/>
              </w:rPr>
            </w:pPr>
            <w:r>
              <w:rPr>
                <w:rFonts w:hint="eastAsia" w:ascii="仿宋" w:hAnsi="仿宋" w:eastAsia="仿宋"/>
                <w:color w:val="auto"/>
                <w:szCs w:val="24"/>
                <w:highlight w:val="none"/>
              </w:rPr>
              <w:t>外墙大面积施工前</w:t>
            </w:r>
          </w:p>
        </w:tc>
        <w:tc>
          <w:tcPr>
            <w:tcW w:w="2552" w:type="dxa"/>
            <w:vAlign w:val="center"/>
          </w:tcPr>
          <w:p w14:paraId="1C1CA12C">
            <w:pPr>
              <w:jc w:val="center"/>
              <w:rPr>
                <w:rFonts w:ascii="仿宋" w:hAnsi="仿宋" w:eastAsia="仿宋"/>
                <w:color w:val="auto"/>
                <w:szCs w:val="24"/>
                <w:highlight w:val="none"/>
              </w:rPr>
            </w:pPr>
            <w:r>
              <w:rPr>
                <w:rFonts w:hint="eastAsia" w:ascii="仿宋" w:hAnsi="仿宋" w:eastAsia="仿宋"/>
                <w:color w:val="auto"/>
                <w:szCs w:val="24"/>
                <w:highlight w:val="none"/>
              </w:rPr>
              <w:t>一个施工标段</w:t>
            </w:r>
          </w:p>
        </w:tc>
        <w:tc>
          <w:tcPr>
            <w:tcW w:w="765" w:type="dxa"/>
            <w:vAlign w:val="center"/>
          </w:tcPr>
          <w:p w14:paraId="5F8A3715">
            <w:pPr>
              <w:jc w:val="center"/>
              <w:rPr>
                <w:rFonts w:ascii="仿宋" w:hAnsi="仿宋" w:eastAsia="仿宋"/>
                <w:color w:val="auto"/>
                <w:szCs w:val="24"/>
                <w:highlight w:val="none"/>
              </w:rPr>
            </w:pPr>
          </w:p>
        </w:tc>
      </w:tr>
      <w:tr w14:paraId="01461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4" w:hRule="atLeast"/>
        </w:trPr>
        <w:tc>
          <w:tcPr>
            <w:tcW w:w="2904" w:type="dxa"/>
            <w:vAlign w:val="center"/>
          </w:tcPr>
          <w:p w14:paraId="2FF7E007">
            <w:pPr>
              <w:jc w:val="center"/>
              <w:rPr>
                <w:rFonts w:ascii="仿宋" w:hAnsi="仿宋" w:eastAsia="仿宋"/>
                <w:color w:val="auto"/>
                <w:szCs w:val="24"/>
                <w:highlight w:val="none"/>
              </w:rPr>
            </w:pPr>
            <w:r>
              <w:rPr>
                <w:rFonts w:hint="eastAsia" w:ascii="仿宋" w:hAnsi="仿宋" w:eastAsia="仿宋"/>
                <w:color w:val="auto"/>
                <w:szCs w:val="24"/>
                <w:highlight w:val="none"/>
              </w:rPr>
              <w:t>装修样板房</w:t>
            </w:r>
          </w:p>
        </w:tc>
        <w:tc>
          <w:tcPr>
            <w:tcW w:w="2307" w:type="dxa"/>
            <w:vAlign w:val="center"/>
          </w:tcPr>
          <w:p w14:paraId="3B120EA0">
            <w:pPr>
              <w:jc w:val="center"/>
              <w:rPr>
                <w:rFonts w:ascii="仿宋" w:hAnsi="仿宋" w:eastAsia="仿宋"/>
                <w:color w:val="auto"/>
                <w:szCs w:val="24"/>
                <w:highlight w:val="none"/>
              </w:rPr>
            </w:pPr>
            <w:r>
              <w:rPr>
                <w:rFonts w:hint="eastAsia" w:ascii="仿宋" w:hAnsi="仿宋" w:eastAsia="仿宋"/>
                <w:color w:val="auto"/>
                <w:szCs w:val="24"/>
                <w:highlight w:val="none"/>
              </w:rPr>
              <w:t>室内装修大面积施工前</w:t>
            </w:r>
          </w:p>
        </w:tc>
        <w:tc>
          <w:tcPr>
            <w:tcW w:w="2552" w:type="dxa"/>
            <w:vAlign w:val="center"/>
          </w:tcPr>
          <w:p w14:paraId="3BFDC6F1">
            <w:pPr>
              <w:jc w:val="center"/>
              <w:rPr>
                <w:rFonts w:ascii="仿宋" w:hAnsi="仿宋" w:eastAsia="仿宋"/>
                <w:color w:val="auto"/>
                <w:szCs w:val="24"/>
                <w:highlight w:val="none"/>
              </w:rPr>
            </w:pPr>
            <w:r>
              <w:rPr>
                <w:rFonts w:hint="eastAsia" w:ascii="仿宋" w:hAnsi="仿宋" w:eastAsia="仿宋"/>
                <w:color w:val="auto"/>
                <w:szCs w:val="24"/>
                <w:highlight w:val="none"/>
              </w:rPr>
              <w:t>每个户型、楼层</w:t>
            </w:r>
          </w:p>
        </w:tc>
        <w:tc>
          <w:tcPr>
            <w:tcW w:w="765" w:type="dxa"/>
            <w:vAlign w:val="center"/>
          </w:tcPr>
          <w:p w14:paraId="5FF1C576">
            <w:pPr>
              <w:jc w:val="center"/>
              <w:rPr>
                <w:rFonts w:ascii="仿宋" w:hAnsi="仿宋" w:eastAsia="仿宋"/>
                <w:color w:val="auto"/>
                <w:szCs w:val="24"/>
                <w:highlight w:val="none"/>
              </w:rPr>
            </w:pPr>
          </w:p>
        </w:tc>
      </w:tr>
      <w:tr w14:paraId="097D6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04" w:type="dxa"/>
            <w:vAlign w:val="center"/>
          </w:tcPr>
          <w:p w14:paraId="4F992545">
            <w:pPr>
              <w:jc w:val="center"/>
              <w:rPr>
                <w:rFonts w:ascii="仿宋" w:hAnsi="仿宋" w:eastAsia="仿宋"/>
                <w:color w:val="auto"/>
                <w:szCs w:val="24"/>
                <w:highlight w:val="none"/>
              </w:rPr>
            </w:pPr>
            <w:r>
              <w:rPr>
                <w:rFonts w:hint="eastAsia" w:ascii="仿宋" w:hAnsi="仿宋" w:eastAsia="仿宋"/>
                <w:color w:val="auto"/>
                <w:szCs w:val="24"/>
                <w:highlight w:val="none"/>
              </w:rPr>
              <w:t>园林铺装样板</w:t>
            </w:r>
          </w:p>
        </w:tc>
        <w:tc>
          <w:tcPr>
            <w:tcW w:w="2307" w:type="dxa"/>
            <w:vAlign w:val="center"/>
          </w:tcPr>
          <w:p w14:paraId="50B8921D">
            <w:pPr>
              <w:jc w:val="center"/>
              <w:rPr>
                <w:rFonts w:ascii="仿宋" w:hAnsi="仿宋" w:eastAsia="仿宋"/>
                <w:color w:val="auto"/>
                <w:szCs w:val="24"/>
                <w:highlight w:val="none"/>
              </w:rPr>
            </w:pPr>
            <w:r>
              <w:rPr>
                <w:rFonts w:hint="eastAsia" w:ascii="仿宋" w:hAnsi="仿宋" w:eastAsia="仿宋"/>
                <w:color w:val="auto"/>
                <w:szCs w:val="24"/>
                <w:highlight w:val="none"/>
              </w:rPr>
              <w:t>在大面积铺装前7天</w:t>
            </w:r>
          </w:p>
        </w:tc>
        <w:tc>
          <w:tcPr>
            <w:tcW w:w="2552" w:type="dxa"/>
            <w:vAlign w:val="center"/>
          </w:tcPr>
          <w:p w14:paraId="309AD1F9">
            <w:pPr>
              <w:jc w:val="center"/>
              <w:rPr>
                <w:rFonts w:ascii="仿宋" w:hAnsi="仿宋" w:eastAsia="仿宋"/>
                <w:color w:val="auto"/>
                <w:szCs w:val="24"/>
                <w:highlight w:val="none"/>
              </w:rPr>
            </w:pPr>
            <w:r>
              <w:rPr>
                <w:rFonts w:hint="eastAsia" w:ascii="仿宋" w:hAnsi="仿宋" w:eastAsia="仿宋"/>
                <w:color w:val="auto"/>
                <w:szCs w:val="24"/>
                <w:highlight w:val="none"/>
              </w:rPr>
              <w:t>以各类铺装板形式为单位，面积不少于10平方米</w:t>
            </w:r>
          </w:p>
        </w:tc>
        <w:tc>
          <w:tcPr>
            <w:tcW w:w="765" w:type="dxa"/>
            <w:vAlign w:val="center"/>
          </w:tcPr>
          <w:p w14:paraId="387BD801">
            <w:pPr>
              <w:jc w:val="center"/>
              <w:rPr>
                <w:rFonts w:ascii="仿宋" w:hAnsi="仿宋" w:eastAsia="仿宋"/>
                <w:color w:val="auto"/>
                <w:szCs w:val="24"/>
                <w:highlight w:val="none"/>
              </w:rPr>
            </w:pPr>
          </w:p>
        </w:tc>
      </w:tr>
    </w:tbl>
    <w:p w14:paraId="2BD22D12">
      <w:pPr>
        <w:spacing w:line="360" w:lineRule="auto"/>
        <w:ind w:left="210" w:leftChars="100" w:firstLine="240" w:firstLineChars="100"/>
        <w:rPr>
          <w:rFonts w:ascii="仿宋" w:hAnsi="仿宋" w:eastAsia="仿宋"/>
          <w:color w:val="auto"/>
          <w:sz w:val="24"/>
          <w:szCs w:val="24"/>
          <w:highlight w:val="none"/>
        </w:rPr>
      </w:pPr>
      <w:r>
        <w:rPr>
          <w:rFonts w:hint="eastAsia" w:ascii="仿宋" w:hAnsi="仿宋" w:eastAsia="仿宋"/>
          <w:color w:val="auto"/>
          <w:sz w:val="24"/>
          <w:szCs w:val="24"/>
          <w:highlight w:val="none"/>
        </w:rPr>
        <w:t>（四）现场管理措施</w:t>
      </w:r>
    </w:p>
    <w:p w14:paraId="2A04B49E">
      <w:pPr>
        <w:spacing w:line="360" w:lineRule="auto"/>
        <w:rPr>
          <w:rFonts w:ascii="仿宋" w:hAnsi="仿宋" w:eastAsia="仿宋"/>
          <w:color w:val="auto"/>
          <w:sz w:val="24"/>
          <w:szCs w:val="24"/>
          <w:highlight w:val="none"/>
        </w:rPr>
      </w:pPr>
      <w:r>
        <w:rPr>
          <w:rFonts w:eastAsia="仿宋" w:cs="Calibri"/>
          <w:color w:val="auto"/>
          <w:sz w:val="24"/>
          <w:szCs w:val="24"/>
          <w:highlight w:val="none"/>
        </w:rPr>
        <w:t>  </w:t>
      </w:r>
      <w:r>
        <w:rPr>
          <w:rFonts w:ascii="仿宋" w:hAnsi="仿宋" w:eastAsia="仿宋" w:cs="Calibri"/>
          <w:color w:val="auto"/>
          <w:sz w:val="24"/>
          <w:szCs w:val="24"/>
          <w:highlight w:val="none"/>
        </w:rPr>
        <w:t xml:space="preserve">   </w:t>
      </w:r>
      <w:r>
        <w:rPr>
          <w:rFonts w:eastAsia="仿宋" w:cs="Calibri"/>
          <w:color w:val="auto"/>
          <w:sz w:val="24"/>
          <w:szCs w:val="24"/>
          <w:highlight w:val="none"/>
        </w:rPr>
        <w:t> </w:t>
      </w:r>
      <w:r>
        <w:rPr>
          <w:rFonts w:ascii="仿宋" w:hAnsi="仿宋" w:eastAsia="仿宋"/>
          <w:color w:val="auto"/>
          <w:sz w:val="24"/>
          <w:szCs w:val="24"/>
          <w:highlight w:val="none"/>
        </w:rPr>
        <w:t>1</w:t>
      </w:r>
      <w:r>
        <w:rPr>
          <w:rFonts w:hint="eastAsia" w:ascii="仿宋" w:hAnsi="仿宋" w:eastAsia="仿宋"/>
          <w:color w:val="auto"/>
          <w:sz w:val="24"/>
          <w:szCs w:val="24"/>
          <w:highlight w:val="none"/>
        </w:rPr>
        <w:t>、建立质量控制体系</w:t>
      </w:r>
    </w:p>
    <w:p w14:paraId="43BB5A7A">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①各分项工程在施工前，均应编制相应的施工技术措施，内容包括施工准备、操作工艺、质量标准、成品保护等；</w:t>
      </w:r>
    </w:p>
    <w:p w14:paraId="07CBA604">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②总包/专业分包商进场前3天内，必须将工程部组织架构、人员资历、岗位职责上报</w:t>
      </w:r>
      <w:r>
        <w:rPr>
          <w:rFonts w:hint="eastAsia" w:ascii="仿宋" w:hAnsi="仿宋" w:eastAsia="仿宋"/>
          <w:color w:val="auto"/>
          <w:sz w:val="24"/>
          <w:szCs w:val="24"/>
          <w:highlight w:val="none"/>
          <w:lang w:val="en-US" w:eastAsia="zh-CN"/>
        </w:rPr>
        <w:t>发包人</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审核（应与投标文件相符）。总包/专业分包商必须在开工前建立质量管理小组，质量管理小组原则上由各分项工程施工班组长、技术负责人及总包/专业分包商项目经理组成，列明小组成员名单及分管内容，在开工前3天报</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工程部、监理单位，</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据此形成质量管理体系报公司备案。</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项目经理、技术负责人、工种（工序）负责人（以下称工长）必须有效地行使质量管理职权。如在实际工作中发现</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工程部工作人员未能有效行使质量管理职权的，</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可发函要求总包/专业承包商或其工程部撤换相关人员。</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 xml:space="preserve">  </w:t>
      </w:r>
      <w:r>
        <w:rPr>
          <w:rFonts w:ascii="仿宋" w:hAnsi="仿宋" w:eastAsia="仿宋"/>
          <w:color w:val="auto"/>
          <w:sz w:val="24"/>
          <w:szCs w:val="24"/>
          <w:highlight w:val="none"/>
        </w:rPr>
        <w:t xml:space="preserve"> 2</w:t>
      </w:r>
      <w:r>
        <w:rPr>
          <w:rFonts w:hint="eastAsia" w:ascii="仿宋" w:hAnsi="仿宋" w:eastAsia="仿宋"/>
          <w:color w:val="auto"/>
          <w:sz w:val="24"/>
          <w:szCs w:val="24"/>
          <w:highlight w:val="none"/>
        </w:rPr>
        <w:t>、技术交底</w:t>
      </w:r>
    </w:p>
    <w:p w14:paraId="764EC04F">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施工技术工人进场后，</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技术人员应及时组织技术交底。建设单位</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监理工程师将不定期抽查</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的技术交底记录。</w:t>
      </w:r>
      <w:r>
        <w:rPr>
          <w:rFonts w:hint="eastAsia" w:ascii="仿宋" w:hAnsi="仿宋" w:eastAsia="仿宋"/>
          <w:color w:val="auto"/>
          <w:sz w:val="24"/>
          <w:szCs w:val="24"/>
          <w:highlight w:val="none"/>
        </w:rPr>
        <w:cr/>
      </w:r>
      <w:r>
        <w:rPr>
          <w:rFonts w:eastAsia="仿宋" w:cs="Calibri"/>
          <w:color w:val="auto"/>
          <w:sz w:val="24"/>
          <w:szCs w:val="24"/>
          <w:highlight w:val="none"/>
        </w:rPr>
        <w:t>   </w:t>
      </w:r>
      <w:r>
        <w:rPr>
          <w:rFonts w:ascii="仿宋" w:hAnsi="仿宋" w:eastAsia="仿宋" w:cs="Calibri"/>
          <w:color w:val="auto"/>
          <w:sz w:val="24"/>
          <w:szCs w:val="24"/>
          <w:highlight w:val="none"/>
        </w:rPr>
        <w:t xml:space="preserve">  </w:t>
      </w:r>
      <w:r>
        <w:rPr>
          <w:rFonts w:ascii="仿宋" w:hAnsi="仿宋" w:eastAsia="仿宋"/>
          <w:color w:val="auto"/>
          <w:sz w:val="24"/>
          <w:szCs w:val="24"/>
          <w:highlight w:val="none"/>
        </w:rPr>
        <w:t>3</w:t>
      </w:r>
      <w:r>
        <w:rPr>
          <w:rFonts w:hint="eastAsia" w:ascii="仿宋" w:hAnsi="仿宋" w:eastAsia="仿宋"/>
          <w:color w:val="auto"/>
          <w:sz w:val="24"/>
          <w:szCs w:val="24"/>
          <w:highlight w:val="none"/>
        </w:rPr>
        <w:t>、隐蔽工程检查和验收</w:t>
      </w:r>
    </w:p>
    <w:p w14:paraId="5AABD1AF">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必须按照设计图纸、技术说明及有关规范、规程要求组织相关单位对施工现场的隐蔽工程进行检查验收。</w:t>
      </w:r>
    </w:p>
    <w:p w14:paraId="2B7DED77">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①工程具备隐蔽条件或达到专用条款约定的中间验收部位，</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进行自检合格，并在隐蔽或中间验收前48小时通知监理验收，监理验收合格后通知发包</w:t>
      </w:r>
      <w:r>
        <w:rPr>
          <w:rFonts w:hint="eastAsia" w:ascii="仿宋" w:hAnsi="仿宋" w:eastAsia="仿宋"/>
          <w:color w:val="auto"/>
          <w:sz w:val="24"/>
          <w:szCs w:val="24"/>
          <w:highlight w:val="none"/>
          <w:lang w:val="en-US" w:eastAsia="zh-CN"/>
        </w:rPr>
        <w:t>人、代建管理单位</w:t>
      </w:r>
      <w:r>
        <w:rPr>
          <w:rFonts w:hint="eastAsia" w:ascii="仿宋" w:hAnsi="仿宋" w:eastAsia="仿宋"/>
          <w:color w:val="auto"/>
          <w:sz w:val="24"/>
          <w:szCs w:val="24"/>
          <w:highlight w:val="none"/>
        </w:rPr>
        <w:t>验收。通知包括隐蔽和中间验收的内容、验收时间和地点。</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准备验收记录，验收合格，工程师在验收记录上签字后，</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可进行隐蔽和继续施工。验收不合格，</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在工程师限定的时间内修改后重新验收。</w:t>
      </w:r>
    </w:p>
    <w:p w14:paraId="04EF1EA7">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②工程师不能按时进行验收，应在验收前24小时以书面形式向</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提出延期要求，延期不能超过48小时。工程师未能按以上时间提出延期要求，不进行验收，</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可自行组织验收，工程师应承认验收记录。</w:t>
      </w:r>
    </w:p>
    <w:p w14:paraId="3A1E82BA">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③经工程师验收，工程质量符合标准、规范和设计图纸等要求，验收24小时后，工程师不在验收记录上签字，视为工程师已经认可验收记录，</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可进行隐蔽或继续施工。</w:t>
      </w:r>
      <w:r>
        <w:rPr>
          <w:rFonts w:hint="eastAsia" w:ascii="仿宋" w:hAnsi="仿宋" w:eastAsia="仿宋"/>
          <w:color w:val="auto"/>
          <w:sz w:val="24"/>
          <w:szCs w:val="24"/>
          <w:highlight w:val="none"/>
        </w:rPr>
        <w:cr/>
      </w:r>
      <w:r>
        <w:rPr>
          <w:rFonts w:eastAsia="仿宋" w:cs="Calibri"/>
          <w:color w:val="auto"/>
          <w:sz w:val="24"/>
          <w:szCs w:val="24"/>
          <w:highlight w:val="none"/>
        </w:rPr>
        <w:t> </w:t>
      </w:r>
      <w:r>
        <w:rPr>
          <w:rFonts w:ascii="仿宋" w:hAnsi="仿宋" w:eastAsia="仿宋" w:cs="Calibri"/>
          <w:color w:val="auto"/>
          <w:sz w:val="24"/>
          <w:szCs w:val="24"/>
          <w:highlight w:val="none"/>
        </w:rPr>
        <w:t xml:space="preserve"> </w:t>
      </w:r>
      <w:r>
        <w:rPr>
          <w:rFonts w:hint="eastAsia" w:ascii="仿宋" w:hAnsi="仿宋" w:eastAsia="仿宋" w:cs="Calibri"/>
          <w:color w:val="auto"/>
          <w:sz w:val="24"/>
          <w:szCs w:val="24"/>
          <w:highlight w:val="none"/>
        </w:rPr>
        <w:t xml:space="preserve"> </w:t>
      </w:r>
      <w:r>
        <w:rPr>
          <w:rFonts w:hint="eastAsia" w:ascii="仿宋" w:hAnsi="仿宋" w:eastAsia="仿宋"/>
          <w:color w:val="auto"/>
          <w:sz w:val="24"/>
          <w:szCs w:val="24"/>
          <w:highlight w:val="none"/>
        </w:rPr>
        <w:t xml:space="preserve"> </w:t>
      </w:r>
      <w:r>
        <w:rPr>
          <w:rFonts w:ascii="仿宋" w:hAnsi="仿宋" w:eastAsia="仿宋"/>
          <w:color w:val="auto"/>
          <w:sz w:val="24"/>
          <w:szCs w:val="24"/>
          <w:highlight w:val="none"/>
        </w:rPr>
        <w:t xml:space="preserve"> 4</w:t>
      </w:r>
      <w:r>
        <w:rPr>
          <w:rFonts w:hint="eastAsia" w:ascii="仿宋" w:hAnsi="仿宋" w:eastAsia="仿宋"/>
          <w:color w:val="auto"/>
          <w:sz w:val="24"/>
          <w:szCs w:val="24"/>
          <w:highlight w:val="none"/>
        </w:rPr>
        <w:t>、建立月度检查制度</w:t>
      </w:r>
    </w:p>
    <w:p w14:paraId="1DB839E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月度检查由</w:t>
      </w:r>
      <w:r>
        <w:rPr>
          <w:rFonts w:hint="eastAsia" w:ascii="仿宋" w:hAnsi="仿宋" w:eastAsia="仿宋"/>
          <w:color w:val="auto"/>
          <w:sz w:val="24"/>
          <w:szCs w:val="24"/>
          <w:highlight w:val="none"/>
          <w:lang w:val="en-US" w:eastAsia="zh-CN"/>
        </w:rPr>
        <w:t>发包人</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组织，总包/专业分包商项目经理、技术负责人，监理单位总监等参加，对各个工程的质量、进度、安全生产文明施工等进行巡检，并进行打分，结果在工程月度检查例会中宣布，对检查中发现严重质量、安全问题的给予经济处罚。同时，形成会议纪要存档。</w:t>
      </w:r>
      <w:r>
        <w:rPr>
          <w:rFonts w:hint="eastAsia" w:ascii="仿宋" w:hAnsi="仿宋" w:eastAsia="仿宋"/>
          <w:color w:val="auto"/>
          <w:sz w:val="24"/>
          <w:szCs w:val="24"/>
          <w:highlight w:val="none"/>
        </w:rPr>
        <w:cr/>
      </w:r>
      <w:r>
        <w:rPr>
          <w:rFonts w:eastAsia="仿宋" w:cs="Calibri"/>
          <w:color w:val="auto"/>
          <w:sz w:val="24"/>
          <w:szCs w:val="24"/>
          <w:highlight w:val="none"/>
        </w:rPr>
        <w:t>   </w:t>
      </w:r>
      <w:r>
        <w:rPr>
          <w:rFonts w:ascii="仿宋" w:hAnsi="仿宋" w:eastAsia="仿宋" w:cs="Calibri"/>
          <w:color w:val="auto"/>
          <w:sz w:val="24"/>
          <w:szCs w:val="24"/>
          <w:highlight w:val="none"/>
        </w:rPr>
        <w:t xml:space="preserve">  </w:t>
      </w:r>
      <w:r>
        <w:rPr>
          <w:rFonts w:hint="eastAsia" w:ascii="仿宋" w:hAnsi="仿宋" w:eastAsia="仿宋"/>
          <w:color w:val="auto"/>
          <w:sz w:val="24"/>
          <w:szCs w:val="24"/>
          <w:highlight w:val="none"/>
        </w:rPr>
        <w:t xml:space="preserve"> </w:t>
      </w:r>
      <w:r>
        <w:rPr>
          <w:rFonts w:ascii="仿宋" w:hAnsi="仿宋" w:eastAsia="仿宋"/>
          <w:color w:val="auto"/>
          <w:sz w:val="24"/>
          <w:szCs w:val="24"/>
          <w:highlight w:val="none"/>
        </w:rPr>
        <w:t>5</w:t>
      </w:r>
      <w:r>
        <w:rPr>
          <w:rFonts w:hint="eastAsia" w:ascii="仿宋" w:hAnsi="仿宋" w:eastAsia="仿宋"/>
          <w:color w:val="auto"/>
          <w:sz w:val="24"/>
          <w:szCs w:val="24"/>
          <w:highlight w:val="none"/>
        </w:rPr>
        <w:t>、发生质量事故，总、专业分包商必须先提出处理措施，报监理</w:t>
      </w:r>
      <w:r>
        <w:rPr>
          <w:rFonts w:hint="eastAsia" w:ascii="仿宋" w:hAnsi="仿宋" w:eastAsia="仿宋"/>
          <w:color w:val="auto"/>
          <w:sz w:val="24"/>
          <w:szCs w:val="24"/>
          <w:highlight w:val="none"/>
          <w:lang w:val="en-US" w:eastAsia="zh-CN"/>
        </w:rPr>
        <w:t>单位</w:t>
      </w:r>
      <w:r>
        <w:rPr>
          <w:rFonts w:hint="eastAsia" w:ascii="仿宋" w:hAnsi="仿宋" w:eastAsia="仿宋"/>
          <w:color w:val="auto"/>
          <w:sz w:val="24"/>
          <w:szCs w:val="24"/>
          <w:highlight w:val="none"/>
        </w:rPr>
        <w:t>和</w:t>
      </w:r>
      <w:r>
        <w:rPr>
          <w:rFonts w:hint="eastAsia" w:ascii="仿宋" w:hAnsi="仿宋" w:eastAsia="仿宋"/>
          <w:color w:val="auto"/>
          <w:sz w:val="24"/>
          <w:szCs w:val="24"/>
          <w:highlight w:val="none"/>
          <w:lang w:val="en-US" w:eastAsia="zh-CN"/>
        </w:rPr>
        <w:t>发包人</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审核、审批。不论监理公司和</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如何审批，总包/专业分包商均需对处理工作产生的任何结果负责。</w:t>
      </w:r>
      <w:r>
        <w:rPr>
          <w:rFonts w:hint="eastAsia" w:ascii="仿宋" w:hAnsi="仿宋" w:eastAsia="仿宋"/>
          <w:color w:val="auto"/>
          <w:sz w:val="24"/>
          <w:szCs w:val="24"/>
          <w:highlight w:val="none"/>
        </w:rPr>
        <w:cr/>
      </w:r>
      <w:r>
        <w:rPr>
          <w:rFonts w:eastAsia="仿宋" w:cs="Calibri"/>
          <w:color w:val="auto"/>
          <w:sz w:val="24"/>
          <w:szCs w:val="24"/>
          <w:highlight w:val="none"/>
        </w:rPr>
        <w:t>  </w:t>
      </w:r>
      <w:r>
        <w:rPr>
          <w:rFonts w:ascii="仿宋" w:hAnsi="仿宋" w:eastAsia="仿宋" w:cs="Calibri"/>
          <w:color w:val="auto"/>
          <w:sz w:val="24"/>
          <w:szCs w:val="24"/>
          <w:highlight w:val="none"/>
        </w:rPr>
        <w:t xml:space="preserve">  </w:t>
      </w:r>
      <w:r>
        <w:rPr>
          <w:rFonts w:eastAsia="仿宋" w:cs="Calibri"/>
          <w:color w:val="auto"/>
          <w:sz w:val="24"/>
          <w:szCs w:val="24"/>
          <w:highlight w:val="none"/>
        </w:rPr>
        <w:t> </w:t>
      </w:r>
      <w:r>
        <w:rPr>
          <w:rFonts w:hint="eastAsia" w:ascii="仿宋" w:hAnsi="仿宋" w:eastAsia="仿宋"/>
          <w:color w:val="auto"/>
          <w:sz w:val="24"/>
          <w:szCs w:val="24"/>
          <w:highlight w:val="none"/>
        </w:rPr>
        <w:t xml:space="preserve"> </w:t>
      </w:r>
      <w:r>
        <w:rPr>
          <w:rFonts w:ascii="仿宋" w:hAnsi="仿宋" w:eastAsia="仿宋"/>
          <w:color w:val="auto"/>
          <w:sz w:val="24"/>
          <w:szCs w:val="24"/>
          <w:highlight w:val="none"/>
        </w:rPr>
        <w:t>6</w:t>
      </w:r>
      <w:r>
        <w:rPr>
          <w:rFonts w:hint="eastAsia" w:ascii="仿宋" w:hAnsi="仿宋" w:eastAsia="仿宋"/>
          <w:color w:val="auto"/>
          <w:sz w:val="24"/>
          <w:szCs w:val="24"/>
          <w:highlight w:val="none"/>
        </w:rPr>
        <w:t>、工程部发现下列质量问题时，应采取技术措施，并有罚款处理的权利：</w:t>
      </w:r>
    </w:p>
    <w:p w14:paraId="4F442F31">
      <w:pPr>
        <w:spacing w:line="360" w:lineRule="auto"/>
        <w:ind w:firstLine="480" w:firstLineChars="200"/>
        <w:rPr>
          <w:rFonts w:ascii="仿宋" w:hAnsi="仿宋" w:eastAsia="仿宋"/>
          <w:color w:val="auto"/>
          <w:sz w:val="24"/>
          <w:szCs w:val="24"/>
          <w:highlight w:val="none"/>
        </w:rPr>
      </w:pPr>
      <w:r>
        <w:rPr>
          <w:rFonts w:ascii="仿宋" w:hAnsi="仿宋" w:eastAsia="仿宋"/>
          <w:color w:val="auto"/>
          <w:sz w:val="24"/>
          <w:szCs w:val="24"/>
          <w:highlight w:val="none"/>
        </w:rPr>
        <w:t>①</w:t>
      </w:r>
      <w:r>
        <w:rPr>
          <w:rFonts w:hint="eastAsia" w:ascii="仿宋" w:hAnsi="仿宋" w:eastAsia="仿宋"/>
          <w:color w:val="auto"/>
          <w:sz w:val="24"/>
          <w:szCs w:val="24"/>
          <w:highlight w:val="none"/>
        </w:rPr>
        <w:t>工序操作不合格的，责令作业班组当时纠正；</w:t>
      </w:r>
      <w:r>
        <w:rPr>
          <w:rFonts w:hint="eastAsia" w:ascii="仿宋" w:hAnsi="仿宋" w:eastAsia="仿宋"/>
          <w:color w:val="auto"/>
          <w:sz w:val="24"/>
          <w:szCs w:val="24"/>
          <w:highlight w:val="none"/>
        </w:rPr>
        <w:cr/>
      </w:r>
      <w:r>
        <w:rPr>
          <w:rFonts w:hint="eastAsia" w:ascii="仿宋" w:hAnsi="仿宋" w:eastAsia="仿宋"/>
          <w:color w:val="auto"/>
          <w:sz w:val="24"/>
          <w:szCs w:val="24"/>
          <w:highlight w:val="none"/>
        </w:rPr>
        <w:t xml:space="preserve">    </w:t>
      </w:r>
      <w:r>
        <w:rPr>
          <w:rFonts w:ascii="仿宋" w:hAnsi="仿宋" w:eastAsia="仿宋"/>
          <w:color w:val="auto"/>
          <w:sz w:val="24"/>
          <w:szCs w:val="24"/>
          <w:highlight w:val="none"/>
        </w:rPr>
        <w:t>②</w:t>
      </w:r>
      <w:r>
        <w:rPr>
          <w:rFonts w:hint="eastAsia" w:ascii="仿宋" w:hAnsi="仿宋" w:eastAsia="仿宋"/>
          <w:color w:val="auto"/>
          <w:sz w:val="24"/>
          <w:szCs w:val="24"/>
          <w:highlight w:val="none"/>
        </w:rPr>
        <w:t>发现可修复的质量缺陷的，责令总、专业分包商修复。修复完成后总包/专业分包商应向监理单位或</w:t>
      </w:r>
      <w:r>
        <w:rPr>
          <w:rFonts w:hint="eastAsia" w:ascii="仿宋" w:hAnsi="仿宋" w:eastAsia="仿宋"/>
          <w:color w:val="auto"/>
          <w:sz w:val="24"/>
          <w:szCs w:val="24"/>
          <w:highlight w:val="none"/>
          <w:lang w:val="en-US" w:eastAsia="zh-CN"/>
        </w:rPr>
        <w:t>发包人</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报验。</w:t>
      </w:r>
    </w:p>
    <w:p w14:paraId="171AFB45">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③发现不易修复的质量缺陷的，由项目工程师提出是否让步接收或要求总、专业分包商拆除重做的建议，报项目经理批准。让步接收的质量缺陷对后续工程及其他专业分包商的经济或工期产生影响的，由该责任单位承担。</w:t>
      </w:r>
      <w:r>
        <w:rPr>
          <w:rFonts w:hint="eastAsia" w:ascii="仿宋" w:hAnsi="仿宋" w:eastAsia="仿宋"/>
          <w:color w:val="auto"/>
          <w:sz w:val="24"/>
          <w:szCs w:val="24"/>
          <w:highlight w:val="none"/>
        </w:rPr>
        <w:cr/>
      </w:r>
      <w:r>
        <w:rPr>
          <w:rFonts w:hint="eastAsia" w:ascii="仿宋" w:hAnsi="仿宋" w:eastAsia="仿宋"/>
          <w:color w:val="auto"/>
          <w:sz w:val="24"/>
          <w:szCs w:val="24"/>
          <w:highlight w:val="none"/>
        </w:rPr>
        <w:t xml:space="preserve">    ④发生质量事故的，总、专业分包商必须拆除重做，由此导致的总、专业分包商自身及开发商和其他分包商的经济及工期损失由该责任单位负责。</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s="仿宋"/>
          <w:color w:val="auto"/>
          <w:sz w:val="24"/>
          <w:szCs w:val="24"/>
          <w:highlight w:val="none"/>
        </w:rPr>
        <w:t>⑤</w:t>
      </w:r>
      <w:r>
        <w:rPr>
          <w:rFonts w:hint="eastAsia" w:ascii="仿宋" w:hAnsi="仿宋" w:eastAsia="仿宋"/>
          <w:color w:val="auto"/>
          <w:sz w:val="24"/>
          <w:szCs w:val="24"/>
          <w:highlight w:val="none"/>
        </w:rPr>
        <w:t>发生以下质量不合格事项，项目工程师或监理公司报请项目经理采取组织措施：</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1）工序施工过程中出现质量缺陷，经监理单位和</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指正后未能系统整改，依然重复出现类似质量缺陷两次以上的，要求总包/专业分包商撤换作业班组。</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2）同一工序完成后，经检查发现不易修复的缺陷两次及以上的，要求总包/专业分包商撤换工长。</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3）不同工序出现不易修复的质量缺陷五次以上的，要求总包/专业分包商撤换技术负责人。</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4）发生质量事故两次或发生重大质量事故的，要求总包/专业分包商撤换项目经理和技术负责人。</w:t>
      </w:r>
      <w:r>
        <w:rPr>
          <w:rFonts w:hint="eastAsia" w:ascii="仿宋" w:hAnsi="仿宋" w:eastAsia="仿宋"/>
          <w:color w:val="auto"/>
          <w:sz w:val="24"/>
          <w:szCs w:val="24"/>
          <w:highlight w:val="none"/>
        </w:rPr>
        <w:cr/>
      </w:r>
      <w:r>
        <w:rPr>
          <w:rFonts w:eastAsia="仿宋" w:cs="Calibri"/>
          <w:color w:val="auto"/>
          <w:sz w:val="24"/>
          <w:szCs w:val="24"/>
          <w:highlight w:val="none"/>
        </w:rPr>
        <w:t>   </w:t>
      </w:r>
      <w:r>
        <w:rPr>
          <w:rFonts w:ascii="仿宋" w:hAnsi="仿宋" w:eastAsia="仿宋" w:cs="Calibri"/>
          <w:color w:val="auto"/>
          <w:sz w:val="24"/>
          <w:szCs w:val="24"/>
          <w:highlight w:val="none"/>
        </w:rPr>
        <w:t xml:space="preserve"> </w:t>
      </w:r>
      <w:r>
        <w:rPr>
          <w:rFonts w:hint="eastAsia" w:ascii="仿宋" w:hAnsi="仿宋" w:eastAsia="仿宋" w:cs="Calibri"/>
          <w:color w:val="auto"/>
          <w:sz w:val="24"/>
          <w:szCs w:val="24"/>
          <w:highlight w:val="none"/>
        </w:rPr>
        <w:t xml:space="preserve"> </w:t>
      </w:r>
      <w:r>
        <w:rPr>
          <w:rFonts w:ascii="仿宋" w:hAnsi="仿宋" w:eastAsia="仿宋" w:cs="Calibri"/>
          <w:color w:val="auto"/>
          <w:sz w:val="24"/>
          <w:szCs w:val="24"/>
          <w:highlight w:val="none"/>
        </w:rPr>
        <w:t xml:space="preserve"> </w:t>
      </w:r>
      <w:r>
        <w:rPr>
          <w:rFonts w:ascii="仿宋" w:hAnsi="仿宋" w:eastAsia="仿宋"/>
          <w:color w:val="auto"/>
          <w:sz w:val="24"/>
          <w:szCs w:val="24"/>
          <w:highlight w:val="none"/>
        </w:rPr>
        <w:t>7</w:t>
      </w:r>
      <w:r>
        <w:rPr>
          <w:rFonts w:hint="eastAsia" w:ascii="仿宋" w:hAnsi="仿宋" w:eastAsia="仿宋"/>
          <w:color w:val="auto"/>
          <w:sz w:val="24"/>
          <w:szCs w:val="24"/>
          <w:highlight w:val="none"/>
        </w:rPr>
        <w:t>、总包/专业分包商工作人员有下列行为的，监理单位或项目工程师报请项目经理采取组织措施：</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①实行旁站监督的工序，工长未到场旁站达两次及以上，且</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工程部未安排其他人员替岗的；或施工期间工长未经常巡视工序作业场地，或在作业场地驻留时间过短，经监理工程师或</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口头指出后未能改正的；或漠视或消极执行监理公司和</w:t>
      </w:r>
      <w:r>
        <w:rPr>
          <w:rFonts w:hint="eastAsia" w:ascii="仿宋" w:hAnsi="仿宋" w:eastAsia="仿宋"/>
          <w:color w:val="auto"/>
          <w:sz w:val="24"/>
          <w:szCs w:val="24"/>
          <w:highlight w:val="none"/>
          <w:lang w:val="en-US" w:eastAsia="zh-CN"/>
        </w:rPr>
        <w:t>发包人</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口头指令三次及以上的，且造成工序质量存在缺陷的，要求</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将工长调离本工程。</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②未按时报批技术方案而擅自施工的；或针对重复出现的质量问题未能提出具体解决措施并在施工作业中落实的；或未严格执行监理公司或</w:t>
      </w:r>
      <w:r>
        <w:rPr>
          <w:rFonts w:hint="eastAsia" w:ascii="仿宋" w:hAnsi="仿宋" w:eastAsia="仿宋"/>
          <w:color w:val="auto"/>
          <w:sz w:val="24"/>
          <w:szCs w:val="24"/>
          <w:highlight w:val="none"/>
          <w:lang w:val="en-US" w:eastAsia="zh-CN"/>
        </w:rPr>
        <w:t>发包人</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针对工程质量具体方面的系统管理措施，直接导致发生质量事故 一次的，要求总/专业承包商撤换技术负责人。</w:t>
      </w:r>
    </w:p>
    <w:p w14:paraId="56C71171">
      <w:pPr>
        <w:spacing w:line="360" w:lineRule="auto"/>
        <w:ind w:left="210" w:leftChars="100" w:firstLine="360" w:firstLineChars="150"/>
        <w:rPr>
          <w:rFonts w:ascii="仿宋" w:hAnsi="仿宋" w:eastAsia="仿宋"/>
          <w:color w:val="auto"/>
          <w:sz w:val="24"/>
          <w:szCs w:val="24"/>
          <w:highlight w:val="none"/>
        </w:rPr>
      </w:pPr>
      <w:r>
        <w:rPr>
          <w:rFonts w:hint="eastAsia" w:ascii="仿宋" w:hAnsi="仿宋" w:eastAsia="仿宋"/>
          <w:color w:val="auto"/>
          <w:sz w:val="24"/>
          <w:szCs w:val="24"/>
          <w:highlight w:val="none"/>
        </w:rPr>
        <w:t>③</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项目经理兼任其它项目职务的；或工程部管理人员数量不足，</w:t>
      </w:r>
    </w:p>
    <w:p w14:paraId="45AD7AB0">
      <w:pPr>
        <w:spacing w:line="360" w:lineRule="auto"/>
        <w:rPr>
          <w:rFonts w:ascii="仿宋" w:hAnsi="仿宋" w:eastAsia="仿宋"/>
          <w:color w:val="auto"/>
          <w:sz w:val="24"/>
          <w:szCs w:val="24"/>
          <w:highlight w:val="none"/>
        </w:rPr>
      </w:pPr>
      <w:r>
        <w:rPr>
          <w:rFonts w:hint="eastAsia" w:ascii="仿宋" w:hAnsi="仿宋" w:eastAsia="仿宋"/>
          <w:color w:val="auto"/>
          <w:sz w:val="24"/>
          <w:szCs w:val="24"/>
          <w:highlight w:val="none"/>
        </w:rPr>
        <w:t>岗位设置不能满足工程质量控制需要，经</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工程部要求后未能改善的；或未能按时完成</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工程部书面指示，在</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工程部给予的宽限期内依然不能完成的；或停工整改工程（工序）未经同意擅自复工的，要求总包/专业分包商撤换项目经理。</w:t>
      </w:r>
    </w:p>
    <w:p w14:paraId="7C19E6FE">
      <w:pPr>
        <w:numPr>
          <w:ilvl w:val="0"/>
          <w:numId w:val="2"/>
        </w:num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出现下列情况时，</w:t>
      </w:r>
      <w:r>
        <w:rPr>
          <w:rFonts w:hint="eastAsia" w:ascii="仿宋" w:hAnsi="仿宋" w:eastAsia="仿宋"/>
          <w:color w:val="auto"/>
          <w:sz w:val="24"/>
          <w:szCs w:val="24"/>
          <w:highlight w:val="none"/>
          <w:lang w:val="en-US" w:eastAsia="zh-CN"/>
        </w:rPr>
        <w:t>发包人、代建管理单位</w:t>
      </w:r>
      <w:r>
        <w:rPr>
          <w:rFonts w:hint="eastAsia" w:ascii="仿宋" w:hAnsi="仿宋" w:eastAsia="仿宋"/>
          <w:color w:val="auto"/>
          <w:sz w:val="24"/>
          <w:szCs w:val="24"/>
          <w:highlight w:val="none"/>
        </w:rPr>
        <w:t>或由监理公司报请项目经理责令总包/专业分包商全面停工或局部停工：</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①未按规定时间报批施工组织设计（技术方案）而继续施工；</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②隐蔽工程未经验收擅自封闭，继续施工；</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③同一工序重复出现类似质量问题；</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④被要求撤换的作业班组，继续从事同一工种施工；</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w:t>
      </w:r>
      <w:r>
        <w:rPr>
          <w:rFonts w:hint="eastAsia" w:ascii="仿宋" w:hAnsi="仿宋" w:eastAsia="仿宋"/>
          <w:color w:val="auto"/>
          <w:sz w:val="24"/>
          <w:szCs w:val="24"/>
          <w:highlight w:val="none"/>
        </w:rPr>
        <w:t>⑤发生质量事故。</w:t>
      </w:r>
      <w:r>
        <w:rPr>
          <w:rFonts w:hint="eastAsia" w:ascii="仿宋" w:hAnsi="仿宋" w:eastAsia="仿宋"/>
          <w:color w:val="auto"/>
          <w:sz w:val="24"/>
          <w:szCs w:val="24"/>
          <w:highlight w:val="none"/>
        </w:rPr>
        <w:cr/>
      </w:r>
      <w:r>
        <w:rPr>
          <w:rFonts w:ascii="仿宋" w:hAnsi="仿宋" w:eastAsia="仿宋"/>
          <w:color w:val="auto"/>
          <w:sz w:val="24"/>
          <w:szCs w:val="24"/>
          <w:highlight w:val="none"/>
        </w:rPr>
        <w:t xml:space="preserve">    9</w:t>
      </w:r>
      <w:r>
        <w:rPr>
          <w:rFonts w:hint="eastAsia" w:ascii="仿宋" w:hAnsi="仿宋" w:eastAsia="仿宋"/>
          <w:color w:val="auto"/>
          <w:sz w:val="24"/>
          <w:szCs w:val="24"/>
          <w:highlight w:val="none"/>
        </w:rPr>
        <w:t>、</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针对质量问题和工程管理采取的组织、技术措施，总包/专业分包商未能按要求整改落实的，暂停支付该部分工程的最近一期工程款。发生重大质量事故一次或被要求撤换项目经理两次的，取消该总包/专业分包商再次投标的资格。</w:t>
      </w:r>
    </w:p>
    <w:p w14:paraId="55E935B3">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w:t>
      </w:r>
      <w:r>
        <w:rPr>
          <w:rFonts w:hint="eastAsia" w:ascii="仿宋" w:hAnsi="仿宋" w:eastAsia="仿宋"/>
          <w:color w:val="auto"/>
          <w:sz w:val="24"/>
          <w:szCs w:val="24"/>
          <w:highlight w:val="none"/>
          <w:lang w:val="en-US" w:eastAsia="zh-CN"/>
        </w:rPr>
        <w:t>0</w:t>
      </w:r>
      <w:r>
        <w:rPr>
          <w:rFonts w:hint="eastAsia" w:ascii="仿宋" w:hAnsi="仿宋" w:eastAsia="仿宋"/>
          <w:color w:val="auto"/>
          <w:sz w:val="24"/>
          <w:szCs w:val="24"/>
          <w:highlight w:val="none"/>
        </w:rPr>
        <w:t>、采用专用的楼板厚度控制器，成品滴水线，强弱电箱砌筑内采取混凝土预制块，低盒预埋，砌体墙内空调洞口采取混凝土预制块。</w:t>
      </w:r>
    </w:p>
    <w:p w14:paraId="2BE56CF4">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w:t>
      </w:r>
      <w:r>
        <w:rPr>
          <w:rFonts w:hint="eastAsia" w:ascii="仿宋" w:hAnsi="仿宋" w:eastAsia="仿宋"/>
          <w:color w:val="auto"/>
          <w:sz w:val="24"/>
          <w:szCs w:val="24"/>
          <w:highlight w:val="none"/>
          <w:lang w:val="en-US" w:eastAsia="zh-CN"/>
        </w:rPr>
        <w:t>1</w:t>
      </w:r>
      <w:r>
        <w:rPr>
          <w:rFonts w:hint="eastAsia" w:ascii="仿宋" w:hAnsi="仿宋" w:eastAsia="仿宋"/>
          <w:color w:val="auto"/>
          <w:sz w:val="24"/>
          <w:szCs w:val="24"/>
          <w:highlight w:val="none"/>
        </w:rPr>
        <w:t>、外立面需要做淋水试验，外墙及铝窗边试水每栋沿建筑一周布管2圈（顶层和中间层），水压、位置满足要求，持续试水12小时。</w:t>
      </w:r>
    </w:p>
    <w:p w14:paraId="641437C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（六）、实测实量</w:t>
      </w:r>
    </w:p>
    <w:p w14:paraId="3A9050DE">
      <w:pPr>
        <w:spacing w:line="480" w:lineRule="exact"/>
        <w:ind w:firstLine="480" w:firstLineChars="200"/>
        <w:rPr>
          <w:rFonts w:ascii="仿宋" w:hAnsi="仿宋" w:eastAsia="仿宋"/>
          <w:color w:val="auto"/>
          <w:sz w:val="24"/>
          <w:szCs w:val="24"/>
          <w:highlight w:val="none"/>
        </w:rPr>
      </w:pPr>
      <w:r>
        <w:rPr>
          <w:rFonts w:ascii="仿宋" w:hAnsi="仿宋" w:eastAsia="仿宋"/>
          <w:color w:val="auto"/>
          <w:sz w:val="24"/>
          <w:szCs w:val="24"/>
          <w:highlight w:val="none"/>
        </w:rPr>
        <w:t>1</w:t>
      </w:r>
      <w:r>
        <w:rPr>
          <w:rFonts w:hint="eastAsia" w:ascii="仿宋" w:hAnsi="仿宋" w:eastAsia="仿宋"/>
          <w:color w:val="auto"/>
          <w:sz w:val="24"/>
          <w:szCs w:val="24"/>
          <w:highlight w:val="none"/>
        </w:rPr>
        <w:t>、</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：依据设计图纸和规范要求，对实际完成的分项工程按照规定的100%的比例进行实测实量并将数据上墙，统计实测实量数据，每周五将本周实测实测数据，按栋按层上报</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及监理单位。根据</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监理要求进行整改，并在自检合格后申请报验闭合。</w:t>
      </w:r>
    </w:p>
    <w:p w14:paraId="57604FEE">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2、及时原则：每层各分项工程完成后及时进行实测实量并将数据上墙 ，</w:t>
      </w:r>
      <w:r>
        <w:rPr>
          <w:rFonts w:hint="eastAsia" w:ascii="仿宋" w:hAnsi="仿宋" w:eastAsia="仿宋"/>
          <w:color w:val="auto"/>
          <w:sz w:val="24"/>
          <w:szCs w:val="24"/>
          <w:highlight w:val="none"/>
          <w:lang w:eastAsia="zh-CN"/>
        </w:rPr>
        <w:t>总承包人</w:t>
      </w:r>
      <w:r>
        <w:rPr>
          <w:rFonts w:ascii="仿宋" w:hAnsi="仿宋" w:eastAsia="仿宋"/>
          <w:color w:val="auto"/>
          <w:sz w:val="24"/>
          <w:szCs w:val="24"/>
          <w:highlight w:val="none"/>
        </w:rPr>
        <w:t>按照以下要求</w:t>
      </w:r>
      <w:r>
        <w:rPr>
          <w:rFonts w:hint="eastAsia" w:ascii="仿宋" w:hAnsi="仿宋" w:eastAsia="仿宋"/>
          <w:color w:val="auto"/>
          <w:sz w:val="24"/>
          <w:szCs w:val="24"/>
          <w:highlight w:val="none"/>
        </w:rPr>
        <w:t>及时</w:t>
      </w:r>
      <w:r>
        <w:rPr>
          <w:rFonts w:ascii="仿宋" w:hAnsi="仿宋" w:eastAsia="仿宋"/>
          <w:color w:val="auto"/>
          <w:sz w:val="24"/>
          <w:szCs w:val="24"/>
          <w:highlight w:val="none"/>
        </w:rPr>
        <w:t>进行实测实量工作</w:t>
      </w:r>
      <w:r>
        <w:rPr>
          <w:rFonts w:hint="eastAsia" w:ascii="仿宋" w:hAnsi="仿宋" w:eastAsia="仿宋"/>
          <w:color w:val="auto"/>
          <w:sz w:val="24"/>
          <w:szCs w:val="24"/>
          <w:highlight w:val="none"/>
        </w:rPr>
        <w:t>：</w:t>
      </w:r>
      <w:r>
        <w:rPr>
          <w:rFonts w:ascii="仿宋" w:hAnsi="仿宋" w:eastAsia="仿宋"/>
          <w:color w:val="auto"/>
          <w:sz w:val="24"/>
          <w:szCs w:val="24"/>
          <w:highlight w:val="none"/>
        </w:rPr>
        <w:t xml:space="preserve"> </w:t>
      </w:r>
    </w:p>
    <w:p w14:paraId="6FC6B832">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①混凝土现浇结构实测在该层所有模板拆除清理后2天内完成并提交数据。</w:t>
      </w:r>
    </w:p>
    <w:p w14:paraId="27F6EBB1">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②砌体实测在砌筑完成（不含后塞砖）2天内完成。</w:t>
      </w:r>
    </w:p>
    <w:p w14:paraId="03D69C85">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③外窗框实测在窗框安装完成2天内完成。</w:t>
      </w:r>
    </w:p>
    <w:p w14:paraId="73F50F5E">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④墙面抹灰实测在大面结束后（不含门窗收头）2天内完成。</w:t>
      </w:r>
    </w:p>
    <w:p w14:paraId="7D160006">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⑤混凝土、砂浆地面实测在地面施工结束后7天内完成。</w:t>
      </w:r>
    </w:p>
    <w:p w14:paraId="3900D4BA">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⑥户内电气底盒标高、给排水预留洞口标高及公区报警按钮标高实测在挂网开始前完成。</w:t>
      </w:r>
    </w:p>
    <w:p w14:paraId="4B1E7FDD">
      <w:pPr>
        <w:numPr>
          <w:ilvl w:val="0"/>
          <w:numId w:val="3"/>
        </w:num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监理单位在</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实测完成后2天内完成复核，</w:t>
      </w:r>
      <w:r>
        <w:rPr>
          <w:rFonts w:hint="eastAsia" w:ascii="仿宋" w:hAnsi="仿宋" w:eastAsia="仿宋"/>
          <w:color w:val="auto"/>
          <w:sz w:val="24"/>
          <w:szCs w:val="24"/>
          <w:highlight w:val="none"/>
          <w:lang w:val="en-US" w:eastAsia="zh-CN"/>
        </w:rPr>
        <w:t>发包人、代建管理单位</w:t>
      </w:r>
      <w:r>
        <w:rPr>
          <w:rFonts w:hint="eastAsia" w:ascii="仿宋" w:hAnsi="仿宋" w:eastAsia="仿宋"/>
          <w:color w:val="auto"/>
          <w:sz w:val="24"/>
          <w:szCs w:val="24"/>
          <w:highlight w:val="none"/>
        </w:rPr>
        <w:t>在监理单位实测完成后2天内完成复核。</w:t>
      </w:r>
    </w:p>
    <w:p w14:paraId="03E3547E">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（七）、主要材料要求：</w:t>
      </w:r>
    </w:p>
    <w:p w14:paraId="42F39216">
      <w:pPr>
        <w:spacing w:line="480" w:lineRule="exact"/>
        <w:ind w:firstLine="480" w:firstLineChars="200"/>
        <w:rPr>
          <w:rFonts w:ascii="仿宋" w:hAnsi="仿宋" w:eastAsia="仿宋"/>
          <w:color w:val="auto"/>
          <w:sz w:val="24"/>
          <w:szCs w:val="24"/>
          <w:highlight w:val="none"/>
        </w:rPr>
      </w:pPr>
      <w:r>
        <w:rPr>
          <w:rFonts w:ascii="仿宋" w:hAnsi="仿宋" w:eastAsia="仿宋"/>
          <w:color w:val="auto"/>
          <w:sz w:val="24"/>
          <w:szCs w:val="24"/>
          <w:highlight w:val="none"/>
        </w:rPr>
        <w:t>1、钢筋厂家：广钢、韶钢、珠海粤钢、湘钢、裕丰（裕丰集团）、萍钢、国金股份、冷钢、柳钢、马钢等上市钢筋品牌。</w:t>
      </w:r>
    </w:p>
    <w:p w14:paraId="2168A621">
      <w:pPr>
        <w:spacing w:line="480" w:lineRule="exact"/>
        <w:ind w:firstLine="480" w:firstLineChars="200"/>
        <w:rPr>
          <w:rFonts w:ascii="仿宋" w:hAnsi="仿宋" w:eastAsia="仿宋"/>
          <w:color w:val="auto"/>
          <w:sz w:val="24"/>
          <w:szCs w:val="24"/>
          <w:highlight w:val="none"/>
        </w:rPr>
      </w:pPr>
      <w:r>
        <w:rPr>
          <w:rFonts w:ascii="仿宋" w:hAnsi="仿宋" w:eastAsia="仿宋"/>
          <w:color w:val="auto"/>
          <w:sz w:val="24"/>
          <w:szCs w:val="24"/>
          <w:highlight w:val="none"/>
        </w:rPr>
        <w:t>2、承包单位使用的混凝土厂家需要上报建设单位考核合格，不能采用政府主管部门在诚信系统中公布的的不诚信单位。</w:t>
      </w:r>
    </w:p>
    <w:p w14:paraId="280AF11E">
      <w:pPr>
        <w:spacing w:line="480" w:lineRule="exact"/>
        <w:ind w:firstLine="480" w:firstLineChars="200"/>
        <w:rPr>
          <w:rFonts w:ascii="仿宋" w:hAnsi="仿宋" w:eastAsia="仿宋"/>
          <w:color w:val="auto"/>
          <w:sz w:val="24"/>
          <w:szCs w:val="24"/>
          <w:highlight w:val="none"/>
        </w:rPr>
      </w:pPr>
      <w:r>
        <w:rPr>
          <w:rFonts w:ascii="仿宋" w:hAnsi="仿宋" w:eastAsia="仿宋"/>
          <w:color w:val="auto"/>
          <w:sz w:val="24"/>
          <w:szCs w:val="24"/>
          <w:highlight w:val="none"/>
        </w:rPr>
        <w:t>3、水泥厂家：海螺、华润、南方、华新、塔牌等上市水泥品牌。</w:t>
      </w:r>
    </w:p>
    <w:p w14:paraId="36B11339">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 xml:space="preserve">4、塑料电线管：联塑、雄塑、金德管业。      </w:t>
      </w:r>
    </w:p>
    <w:p w14:paraId="756EF00B">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 xml:space="preserve">5、金属电线管：华通/珠江/华捷/广州钢管。     </w:t>
      </w:r>
    </w:p>
    <w:p w14:paraId="112989A5">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 xml:space="preserve">6、塑料排水管：联塑、雄塑、金德管业。  </w:t>
      </w:r>
    </w:p>
    <w:p w14:paraId="3DA53491">
      <w:pPr>
        <w:spacing w:line="480" w:lineRule="exact"/>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7、镀锌钢管：华通/珠江/华捷/广州钢管。</w:t>
      </w:r>
    </w:p>
    <w:p w14:paraId="43CF5366">
      <w:pPr>
        <w:pStyle w:val="2"/>
        <w:rPr>
          <w:rFonts w:ascii="仿宋" w:hAnsi="仿宋" w:eastAsia="仿宋" w:cs="Times New Roman"/>
          <w:b w:val="0"/>
          <w:bCs w:val="0"/>
          <w:color w:val="auto"/>
          <w:kern w:val="2"/>
          <w:sz w:val="24"/>
          <w:szCs w:val="24"/>
          <w:highlight w:val="none"/>
        </w:rPr>
      </w:pPr>
      <w:r>
        <w:rPr>
          <w:rFonts w:hint="eastAsia" w:ascii="仿宋" w:hAnsi="仿宋" w:eastAsia="仿宋" w:cs="Times New Roman"/>
          <w:b w:val="0"/>
          <w:bCs w:val="0"/>
          <w:color w:val="auto"/>
          <w:kern w:val="2"/>
          <w:sz w:val="24"/>
          <w:szCs w:val="24"/>
          <w:highlight w:val="none"/>
        </w:rPr>
        <w:t>上述材料最终以品牌确认表为准。</w:t>
      </w:r>
    </w:p>
    <w:p w14:paraId="21CDCE8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（八）、</w:t>
      </w:r>
      <w:bookmarkStart w:id="11" w:name="_Toc21621"/>
      <w:r>
        <w:rPr>
          <w:rFonts w:hint="eastAsia" w:ascii="仿宋" w:hAnsi="仿宋" w:eastAsia="仿宋"/>
          <w:color w:val="auto"/>
          <w:sz w:val="24"/>
          <w:szCs w:val="24"/>
          <w:highlight w:val="none"/>
        </w:rPr>
        <w:t>重点工艺要求做法</w:t>
      </w:r>
      <w:bookmarkEnd w:id="11"/>
    </w:p>
    <w:tbl>
      <w:tblPr>
        <w:tblStyle w:val="37"/>
        <w:tblW w:w="84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07"/>
        <w:gridCol w:w="3993"/>
        <w:gridCol w:w="3828"/>
      </w:tblGrid>
      <w:tr w14:paraId="741023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5" w:hRule="atLeast"/>
          <w:jc w:val="center"/>
        </w:trPr>
        <w:tc>
          <w:tcPr>
            <w:tcW w:w="607" w:type="dxa"/>
          </w:tcPr>
          <w:p w14:paraId="37185308">
            <w:pPr>
              <w:jc w:val="center"/>
              <w:rPr>
                <w:rFonts w:ascii="仿宋" w:hAnsi="仿宋" w:eastAsia="仿宋"/>
                <w:b/>
                <w:color w:val="auto"/>
                <w:sz w:val="24"/>
                <w:szCs w:val="24"/>
                <w:highlight w:val="none"/>
              </w:rPr>
            </w:pPr>
            <w:r>
              <w:rPr>
                <w:rFonts w:hint="eastAsia" w:ascii="仿宋" w:hAnsi="仿宋" w:eastAsia="仿宋"/>
                <w:b/>
                <w:color w:val="auto"/>
                <w:sz w:val="24"/>
                <w:szCs w:val="24"/>
                <w:highlight w:val="none"/>
              </w:rPr>
              <w:t>序号</w:t>
            </w:r>
          </w:p>
        </w:tc>
        <w:tc>
          <w:tcPr>
            <w:tcW w:w="7821" w:type="dxa"/>
            <w:gridSpan w:val="2"/>
            <w:vAlign w:val="center"/>
          </w:tcPr>
          <w:p w14:paraId="3097D44A">
            <w:pPr>
              <w:jc w:val="center"/>
              <w:rPr>
                <w:rFonts w:ascii="仿宋" w:hAnsi="仿宋" w:eastAsia="仿宋"/>
                <w:b/>
                <w:color w:val="auto"/>
                <w:sz w:val="24"/>
                <w:szCs w:val="24"/>
                <w:highlight w:val="none"/>
              </w:rPr>
            </w:pPr>
            <w:r>
              <w:rPr>
                <w:rFonts w:ascii="仿宋" w:hAnsi="仿宋" w:eastAsia="仿宋"/>
                <w:b/>
                <w:color w:val="auto"/>
                <w:sz w:val="24"/>
                <w:szCs w:val="24"/>
                <w:highlight w:val="none"/>
              </w:rPr>
              <w:t>做法及相片</w:t>
            </w:r>
          </w:p>
        </w:tc>
      </w:tr>
      <w:tr w14:paraId="335713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6" w:hRule="atLeast"/>
          <w:jc w:val="center"/>
        </w:trPr>
        <w:tc>
          <w:tcPr>
            <w:tcW w:w="607" w:type="dxa"/>
            <w:vMerge w:val="restart"/>
            <w:vAlign w:val="center"/>
          </w:tcPr>
          <w:p w14:paraId="18AAD87E">
            <w:pPr>
              <w:jc w:val="center"/>
              <w:rPr>
                <w:rFonts w:ascii="仿宋" w:hAnsi="仿宋" w:eastAsia="仿宋"/>
                <w:b/>
                <w:color w:val="auto"/>
                <w:sz w:val="24"/>
                <w:szCs w:val="24"/>
                <w:highlight w:val="none"/>
              </w:rPr>
            </w:pPr>
            <w:r>
              <w:rPr>
                <w:rFonts w:hint="eastAsia" w:ascii="仿宋" w:hAnsi="仿宋" w:eastAsia="仿宋"/>
                <w:b/>
                <w:color w:val="auto"/>
                <w:sz w:val="24"/>
                <w:szCs w:val="24"/>
                <w:highlight w:val="none"/>
              </w:rPr>
              <w:t>1</w:t>
            </w:r>
          </w:p>
        </w:tc>
        <w:tc>
          <w:tcPr>
            <w:tcW w:w="3993" w:type="dxa"/>
          </w:tcPr>
          <w:p w14:paraId="72CAC05C">
            <w:pPr>
              <w:jc w:val="center"/>
              <w:rPr>
                <w:rFonts w:ascii="仿宋" w:hAnsi="仿宋" w:eastAsia="仿宋"/>
                <w:b/>
                <w:color w:val="auto"/>
                <w:sz w:val="24"/>
                <w:szCs w:val="24"/>
                <w:highlight w:val="none"/>
              </w:rPr>
            </w:pPr>
            <w:r>
              <w:rPr>
                <w:color w:val="auto"/>
                <w:highlight w:val="none"/>
              </w:rPr>
              <w:drawing>
                <wp:inline distT="0" distB="0" distL="0" distR="0">
                  <wp:extent cx="2438400" cy="1668145"/>
                  <wp:effectExtent l="0" t="0" r="0" b="825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2438400" cy="1668145"/>
                          </a:xfrm>
                          <a:prstGeom prst="rect">
                            <a:avLst/>
                          </a:prstGeom>
                          <a:noFill/>
                          <a:ln>
                            <a:noFill/>
                          </a:ln>
                        </pic:spPr>
                      </pic:pic>
                    </a:graphicData>
                  </a:graphic>
                </wp:inline>
              </w:drawing>
            </w:r>
          </w:p>
        </w:tc>
        <w:tc>
          <w:tcPr>
            <w:tcW w:w="3828" w:type="dxa"/>
          </w:tcPr>
          <w:p w14:paraId="2C29CF61">
            <w:pPr>
              <w:jc w:val="center"/>
              <w:rPr>
                <w:rFonts w:ascii="仿宋" w:hAnsi="仿宋" w:eastAsia="仿宋"/>
                <w:b/>
                <w:color w:val="auto"/>
                <w:sz w:val="24"/>
                <w:szCs w:val="24"/>
                <w:highlight w:val="none"/>
              </w:rPr>
            </w:pPr>
            <w:r>
              <w:rPr>
                <w:color w:val="auto"/>
                <w:highlight w:val="none"/>
              </w:rPr>
              <w:drawing>
                <wp:inline distT="0" distB="0" distL="0" distR="0">
                  <wp:extent cx="2294255" cy="1651000"/>
                  <wp:effectExtent l="0" t="0" r="0" b="635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294255" cy="1651000"/>
                          </a:xfrm>
                          <a:prstGeom prst="rect">
                            <a:avLst/>
                          </a:prstGeom>
                          <a:noFill/>
                          <a:ln>
                            <a:noFill/>
                          </a:ln>
                        </pic:spPr>
                      </pic:pic>
                    </a:graphicData>
                  </a:graphic>
                </wp:inline>
              </w:drawing>
            </w:r>
          </w:p>
        </w:tc>
      </w:tr>
      <w:tr w14:paraId="79514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6" w:hRule="atLeast"/>
          <w:jc w:val="center"/>
        </w:trPr>
        <w:tc>
          <w:tcPr>
            <w:tcW w:w="607" w:type="dxa"/>
            <w:vMerge w:val="continue"/>
            <w:vAlign w:val="center"/>
          </w:tcPr>
          <w:p w14:paraId="16C28F8F">
            <w:pPr>
              <w:jc w:val="center"/>
              <w:rPr>
                <w:rFonts w:ascii="仿宋" w:hAnsi="仿宋" w:eastAsia="仿宋"/>
                <w:b/>
                <w:color w:val="auto"/>
                <w:sz w:val="24"/>
                <w:szCs w:val="24"/>
                <w:highlight w:val="none"/>
              </w:rPr>
            </w:pPr>
          </w:p>
        </w:tc>
        <w:tc>
          <w:tcPr>
            <w:tcW w:w="7821" w:type="dxa"/>
            <w:gridSpan w:val="2"/>
          </w:tcPr>
          <w:p w14:paraId="39F60D80">
            <w:pPr>
              <w:jc w:val="left"/>
              <w:rPr>
                <w:rFonts w:ascii="仿宋" w:hAnsi="仿宋" w:eastAsia="仿宋"/>
                <w:b/>
                <w:color w:val="auto"/>
                <w:szCs w:val="24"/>
                <w:highlight w:val="none"/>
              </w:rPr>
            </w:pPr>
            <w:r>
              <w:rPr>
                <w:rFonts w:hint="eastAsia" w:ascii="仿宋" w:hAnsi="仿宋" w:eastAsia="仿宋"/>
                <w:b/>
                <w:color w:val="auto"/>
                <w:szCs w:val="24"/>
                <w:highlight w:val="none"/>
              </w:rPr>
              <w:t>楼板厚度控制：</w:t>
            </w:r>
            <w:r>
              <w:rPr>
                <w:rFonts w:hint="eastAsia" w:ascii="仿宋" w:hAnsi="仿宋" w:eastAsia="仿宋"/>
                <w:color w:val="auto"/>
                <w:highlight w:val="none"/>
              </w:rPr>
              <w:t>采用专用的楼板厚度控制器；原则上板的长或宽小于等于4米采用5个，4米以上的板采用7个，具体以实际情况。</w:t>
            </w:r>
          </w:p>
        </w:tc>
      </w:tr>
      <w:tr w14:paraId="193612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6" w:hRule="atLeast"/>
          <w:jc w:val="center"/>
        </w:trPr>
        <w:tc>
          <w:tcPr>
            <w:tcW w:w="607" w:type="dxa"/>
            <w:vMerge w:val="restart"/>
            <w:vAlign w:val="center"/>
          </w:tcPr>
          <w:p w14:paraId="123FF967">
            <w:pPr>
              <w:jc w:val="center"/>
              <w:rPr>
                <w:rFonts w:ascii="仿宋" w:hAnsi="仿宋" w:eastAsia="仿宋"/>
                <w:b/>
                <w:color w:val="auto"/>
                <w:sz w:val="24"/>
                <w:szCs w:val="24"/>
                <w:highlight w:val="none"/>
              </w:rPr>
            </w:pPr>
            <w:r>
              <w:rPr>
                <w:rFonts w:hint="eastAsia" w:ascii="仿宋" w:hAnsi="仿宋" w:eastAsia="仿宋"/>
                <w:b/>
                <w:color w:val="auto"/>
                <w:sz w:val="24"/>
                <w:szCs w:val="24"/>
                <w:highlight w:val="none"/>
              </w:rPr>
              <w:t>2</w:t>
            </w:r>
          </w:p>
        </w:tc>
        <w:tc>
          <w:tcPr>
            <w:tcW w:w="3993" w:type="dxa"/>
          </w:tcPr>
          <w:p w14:paraId="75E00BE0">
            <w:pPr>
              <w:rPr>
                <w:rFonts w:ascii="仿宋" w:hAnsi="仿宋" w:eastAsia="仿宋"/>
                <w:b/>
                <w:color w:val="auto"/>
                <w:sz w:val="24"/>
                <w:szCs w:val="24"/>
                <w:highlight w:val="none"/>
              </w:rPr>
            </w:pPr>
            <w:r>
              <w:rPr>
                <w:rFonts w:ascii="仿宋" w:hAnsi="仿宋" w:eastAsia="仿宋"/>
                <w:b/>
                <w:color w:val="auto"/>
                <w:sz w:val="24"/>
                <w:szCs w:val="24"/>
                <w:highlight w:val="none"/>
              </w:rPr>
              <w:drawing>
                <wp:inline distT="0" distB="0" distL="0" distR="0">
                  <wp:extent cx="2379345" cy="1651000"/>
                  <wp:effectExtent l="0" t="0" r="1905" b="6350"/>
                  <wp:docPr id="13" name="图片 13" descr="飘窗板滴水线一次成型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飘窗板滴水线一次成型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379345" cy="1651000"/>
                          </a:xfrm>
                          <a:prstGeom prst="rect">
                            <a:avLst/>
                          </a:prstGeom>
                          <a:noFill/>
                          <a:ln>
                            <a:noFill/>
                          </a:ln>
                        </pic:spPr>
                      </pic:pic>
                    </a:graphicData>
                  </a:graphic>
                </wp:inline>
              </w:drawing>
            </w:r>
          </w:p>
        </w:tc>
        <w:tc>
          <w:tcPr>
            <w:tcW w:w="3828" w:type="dxa"/>
          </w:tcPr>
          <w:p w14:paraId="36F244E7">
            <w:pPr>
              <w:rPr>
                <w:rFonts w:ascii="仿宋" w:hAnsi="仿宋" w:eastAsia="仿宋"/>
                <w:b/>
                <w:color w:val="auto"/>
                <w:sz w:val="24"/>
                <w:szCs w:val="24"/>
                <w:highlight w:val="none"/>
              </w:rPr>
            </w:pPr>
            <w:r>
              <w:rPr>
                <w:rFonts w:ascii="仿宋" w:hAnsi="仿宋" w:eastAsia="仿宋"/>
                <w:b/>
                <w:color w:val="auto"/>
                <w:sz w:val="24"/>
                <w:szCs w:val="24"/>
                <w:highlight w:val="none"/>
              </w:rPr>
              <w:drawing>
                <wp:inline distT="0" distB="0" distL="0" distR="0">
                  <wp:extent cx="2260600" cy="1651000"/>
                  <wp:effectExtent l="0" t="0" r="6350" b="6350"/>
                  <wp:docPr id="12" name="图片 12" descr="飘窗板滴水线一次成型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飘窗板滴水线一次成型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260600" cy="1651000"/>
                          </a:xfrm>
                          <a:prstGeom prst="rect">
                            <a:avLst/>
                          </a:prstGeom>
                          <a:noFill/>
                          <a:ln>
                            <a:noFill/>
                          </a:ln>
                        </pic:spPr>
                      </pic:pic>
                    </a:graphicData>
                  </a:graphic>
                </wp:inline>
              </w:drawing>
            </w:r>
          </w:p>
        </w:tc>
      </w:tr>
      <w:tr w14:paraId="3830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atLeast"/>
          <w:jc w:val="center"/>
        </w:trPr>
        <w:tc>
          <w:tcPr>
            <w:tcW w:w="607" w:type="dxa"/>
            <w:vMerge w:val="continue"/>
            <w:vAlign w:val="center"/>
          </w:tcPr>
          <w:p w14:paraId="42A8D254">
            <w:pPr>
              <w:jc w:val="center"/>
              <w:rPr>
                <w:rFonts w:ascii="仿宋" w:hAnsi="仿宋" w:eastAsia="仿宋"/>
                <w:b/>
                <w:color w:val="auto"/>
                <w:sz w:val="24"/>
                <w:szCs w:val="24"/>
                <w:highlight w:val="none"/>
              </w:rPr>
            </w:pPr>
          </w:p>
        </w:tc>
        <w:tc>
          <w:tcPr>
            <w:tcW w:w="7821" w:type="dxa"/>
            <w:gridSpan w:val="2"/>
            <w:vAlign w:val="center"/>
          </w:tcPr>
          <w:p w14:paraId="27D6AFA8">
            <w:pPr>
              <w:jc w:val="left"/>
              <w:rPr>
                <w:rFonts w:ascii="仿宋" w:hAnsi="仿宋" w:eastAsia="仿宋"/>
                <w:b/>
                <w:color w:val="auto"/>
                <w:szCs w:val="24"/>
                <w:highlight w:val="none"/>
              </w:rPr>
            </w:pPr>
            <w:r>
              <w:rPr>
                <w:rFonts w:hint="eastAsia" w:ascii="仿宋" w:hAnsi="仿宋" w:eastAsia="仿宋"/>
                <w:b/>
                <w:color w:val="auto"/>
                <w:szCs w:val="24"/>
                <w:highlight w:val="none"/>
              </w:rPr>
              <w:t>滴水线：</w:t>
            </w:r>
            <w:r>
              <w:rPr>
                <w:rFonts w:hint="eastAsia" w:ascii="仿宋" w:hAnsi="仿宋" w:eastAsia="仿宋"/>
                <w:color w:val="auto"/>
                <w:szCs w:val="24"/>
                <w:highlight w:val="none"/>
              </w:rPr>
              <w:t>飘窗板滴水线一次成型飘，窗板滴水线一次成型</w:t>
            </w:r>
          </w:p>
        </w:tc>
      </w:tr>
      <w:tr w14:paraId="29B0F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8" w:hRule="atLeast"/>
          <w:jc w:val="center"/>
        </w:trPr>
        <w:tc>
          <w:tcPr>
            <w:tcW w:w="607" w:type="dxa"/>
            <w:vMerge w:val="restart"/>
            <w:vAlign w:val="center"/>
          </w:tcPr>
          <w:p w14:paraId="58C16B53">
            <w:pPr>
              <w:jc w:val="center"/>
              <w:rPr>
                <w:rFonts w:ascii="仿宋" w:hAnsi="仿宋" w:eastAsia="仿宋"/>
                <w:b/>
                <w:color w:val="auto"/>
                <w:sz w:val="24"/>
                <w:szCs w:val="24"/>
                <w:highlight w:val="none"/>
              </w:rPr>
            </w:pPr>
            <w:r>
              <w:rPr>
                <w:rFonts w:hint="eastAsia" w:ascii="仿宋" w:hAnsi="仿宋" w:eastAsia="仿宋"/>
                <w:b/>
                <w:color w:val="auto"/>
                <w:sz w:val="24"/>
                <w:szCs w:val="24"/>
                <w:highlight w:val="none"/>
              </w:rPr>
              <w:t>3</w:t>
            </w:r>
          </w:p>
        </w:tc>
        <w:tc>
          <w:tcPr>
            <w:tcW w:w="3993" w:type="dxa"/>
          </w:tcPr>
          <w:p w14:paraId="05E78816">
            <w:pPr>
              <w:rPr>
                <w:rFonts w:ascii="仿宋" w:hAnsi="仿宋" w:eastAsia="仿宋"/>
                <w:b/>
                <w:color w:val="auto"/>
                <w:sz w:val="24"/>
                <w:szCs w:val="24"/>
                <w:highlight w:val="none"/>
              </w:rPr>
            </w:pPr>
            <w:r>
              <w:rPr>
                <w:color w:val="auto"/>
                <w:highlight w:val="none"/>
              </w:rPr>
              <w:drawing>
                <wp:inline distT="0" distB="0" distL="0" distR="0">
                  <wp:extent cx="2294255" cy="16592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294255" cy="1659255"/>
                          </a:xfrm>
                          <a:prstGeom prst="rect">
                            <a:avLst/>
                          </a:prstGeom>
                          <a:noFill/>
                          <a:ln>
                            <a:noFill/>
                          </a:ln>
                        </pic:spPr>
                      </pic:pic>
                    </a:graphicData>
                  </a:graphic>
                </wp:inline>
              </w:drawing>
            </w:r>
          </w:p>
        </w:tc>
        <w:tc>
          <w:tcPr>
            <w:tcW w:w="3828" w:type="dxa"/>
          </w:tcPr>
          <w:p w14:paraId="544871EF">
            <w:pPr>
              <w:rPr>
                <w:rFonts w:ascii="仿宋" w:hAnsi="仿宋" w:eastAsia="仿宋"/>
                <w:b/>
                <w:color w:val="auto"/>
                <w:sz w:val="24"/>
                <w:szCs w:val="24"/>
                <w:highlight w:val="none"/>
              </w:rPr>
            </w:pPr>
            <w:r>
              <w:rPr>
                <w:rFonts w:ascii="仿宋" w:hAnsi="仿宋" w:eastAsia="仿宋"/>
                <w:b/>
                <w:color w:val="auto"/>
                <w:sz w:val="24"/>
                <w:szCs w:val="24"/>
                <w:highlight w:val="none"/>
              </w:rPr>
              <w:drawing>
                <wp:inline distT="0" distB="0" distL="0" distR="0">
                  <wp:extent cx="2404745" cy="1651000"/>
                  <wp:effectExtent l="0" t="0" r="0" b="6350"/>
                  <wp:docPr id="10" name="图片 10" descr="16232218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623221898(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404745" cy="1651000"/>
                          </a:xfrm>
                          <a:prstGeom prst="rect">
                            <a:avLst/>
                          </a:prstGeom>
                          <a:noFill/>
                          <a:ln>
                            <a:noFill/>
                          </a:ln>
                        </pic:spPr>
                      </pic:pic>
                    </a:graphicData>
                  </a:graphic>
                </wp:inline>
              </w:drawing>
            </w:r>
          </w:p>
        </w:tc>
      </w:tr>
      <w:tr w14:paraId="124AD3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07" w:type="dxa"/>
            <w:vMerge w:val="continue"/>
            <w:vAlign w:val="center"/>
          </w:tcPr>
          <w:p w14:paraId="1929CB70">
            <w:pPr>
              <w:jc w:val="center"/>
              <w:rPr>
                <w:rFonts w:ascii="仿宋" w:hAnsi="仿宋" w:eastAsia="仿宋"/>
                <w:b/>
                <w:color w:val="auto"/>
                <w:sz w:val="24"/>
                <w:szCs w:val="24"/>
                <w:highlight w:val="none"/>
              </w:rPr>
            </w:pPr>
          </w:p>
        </w:tc>
        <w:tc>
          <w:tcPr>
            <w:tcW w:w="3993" w:type="dxa"/>
            <w:vAlign w:val="center"/>
          </w:tcPr>
          <w:p w14:paraId="69C2ACFF">
            <w:pPr>
              <w:jc w:val="left"/>
              <w:rPr>
                <w:rFonts w:ascii="仿宋" w:hAnsi="仿宋" w:eastAsia="仿宋"/>
                <w:b/>
                <w:color w:val="auto"/>
                <w:szCs w:val="24"/>
                <w:highlight w:val="none"/>
              </w:rPr>
            </w:pPr>
            <w:r>
              <w:rPr>
                <w:rFonts w:hint="eastAsia" w:ascii="仿宋" w:hAnsi="仿宋" w:eastAsia="仿宋"/>
                <w:b/>
                <w:color w:val="auto"/>
                <w:szCs w:val="24"/>
                <w:highlight w:val="none"/>
              </w:rPr>
              <w:t>线盒安装：</w:t>
            </w:r>
            <w:r>
              <w:rPr>
                <w:rFonts w:ascii="仿宋" w:hAnsi="仿宋" w:eastAsia="仿宋"/>
                <w:color w:val="auto"/>
                <w:szCs w:val="24"/>
                <w:highlight w:val="none"/>
              </w:rPr>
              <w:t>先弹线后开槽，使用手持电锯，严禁随意打凿，补填不得留有空洞。</w:t>
            </w:r>
          </w:p>
        </w:tc>
        <w:tc>
          <w:tcPr>
            <w:tcW w:w="3828" w:type="dxa"/>
            <w:vAlign w:val="center"/>
          </w:tcPr>
          <w:p w14:paraId="62170F0B">
            <w:pPr>
              <w:jc w:val="left"/>
              <w:rPr>
                <w:rFonts w:ascii="仿宋" w:hAnsi="仿宋" w:eastAsia="仿宋"/>
                <w:b/>
                <w:color w:val="auto"/>
                <w:szCs w:val="24"/>
                <w:highlight w:val="none"/>
              </w:rPr>
            </w:pPr>
            <w:r>
              <w:rPr>
                <w:rFonts w:hint="eastAsia" w:ascii="仿宋" w:hAnsi="仿宋" w:eastAsia="仿宋"/>
                <w:b/>
                <w:color w:val="auto"/>
                <w:szCs w:val="24"/>
                <w:highlight w:val="none"/>
              </w:rPr>
              <w:t>强弱电箱：采取预制箱体或者预制缺口过梁</w:t>
            </w:r>
          </w:p>
        </w:tc>
      </w:tr>
      <w:tr w14:paraId="322BB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4" w:hRule="atLeast"/>
          <w:jc w:val="center"/>
        </w:trPr>
        <w:tc>
          <w:tcPr>
            <w:tcW w:w="607" w:type="dxa"/>
            <w:vMerge w:val="restart"/>
            <w:vAlign w:val="center"/>
          </w:tcPr>
          <w:p w14:paraId="64B48E08">
            <w:pPr>
              <w:jc w:val="center"/>
              <w:rPr>
                <w:rFonts w:ascii="仿宋" w:hAnsi="仿宋" w:eastAsia="仿宋"/>
                <w:b/>
                <w:color w:val="auto"/>
                <w:sz w:val="24"/>
                <w:szCs w:val="24"/>
                <w:highlight w:val="none"/>
              </w:rPr>
            </w:pPr>
            <w:r>
              <w:rPr>
                <w:rFonts w:hint="eastAsia" w:ascii="仿宋" w:hAnsi="仿宋" w:eastAsia="仿宋"/>
                <w:b/>
                <w:color w:val="auto"/>
                <w:sz w:val="24"/>
                <w:szCs w:val="24"/>
                <w:highlight w:val="none"/>
              </w:rPr>
              <w:t>4</w:t>
            </w:r>
          </w:p>
        </w:tc>
        <w:tc>
          <w:tcPr>
            <w:tcW w:w="3993" w:type="dxa"/>
          </w:tcPr>
          <w:p w14:paraId="045AEF7C">
            <w:pPr>
              <w:jc w:val="center"/>
              <w:rPr>
                <w:rFonts w:ascii="仿宋" w:hAnsi="仿宋" w:eastAsia="仿宋"/>
                <w:b/>
                <w:color w:val="auto"/>
                <w:sz w:val="24"/>
                <w:szCs w:val="24"/>
                <w:highlight w:val="none"/>
              </w:rPr>
            </w:pPr>
            <w:r>
              <w:rPr>
                <w:color w:val="auto"/>
                <w:highlight w:val="none"/>
              </w:rPr>
              <w:drawing>
                <wp:inline distT="0" distB="0" distL="0" distR="0">
                  <wp:extent cx="2319655" cy="1651000"/>
                  <wp:effectExtent l="0" t="0" r="4445"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2319655" cy="1651000"/>
                          </a:xfrm>
                          <a:prstGeom prst="rect">
                            <a:avLst/>
                          </a:prstGeom>
                          <a:noFill/>
                          <a:ln>
                            <a:noFill/>
                          </a:ln>
                        </pic:spPr>
                      </pic:pic>
                    </a:graphicData>
                  </a:graphic>
                </wp:inline>
              </w:drawing>
            </w:r>
          </w:p>
        </w:tc>
        <w:tc>
          <w:tcPr>
            <w:tcW w:w="3828" w:type="dxa"/>
          </w:tcPr>
          <w:p w14:paraId="47D8D014">
            <w:pPr>
              <w:jc w:val="center"/>
              <w:rPr>
                <w:rFonts w:ascii="仿宋" w:hAnsi="仿宋" w:eastAsia="仿宋"/>
                <w:b/>
                <w:color w:val="auto"/>
                <w:sz w:val="24"/>
                <w:szCs w:val="24"/>
                <w:highlight w:val="none"/>
              </w:rPr>
            </w:pPr>
            <w:r>
              <w:rPr>
                <w:color w:val="auto"/>
                <w:highlight w:val="none"/>
              </w:rPr>
              <w:drawing>
                <wp:inline distT="0" distB="0" distL="0" distR="0">
                  <wp:extent cx="1701800" cy="2311400"/>
                  <wp:effectExtent l="0" t="0" r="0" b="0"/>
                  <wp:docPr id="5" name="图片 5" descr="IMG_0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IMG_090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rot="5400000">
                            <a:off x="0" y="0"/>
                            <a:ext cx="1701800" cy="2311400"/>
                          </a:xfrm>
                          <a:prstGeom prst="rect">
                            <a:avLst/>
                          </a:prstGeom>
                          <a:noFill/>
                          <a:ln>
                            <a:noFill/>
                          </a:ln>
                        </pic:spPr>
                      </pic:pic>
                    </a:graphicData>
                  </a:graphic>
                </wp:inline>
              </w:drawing>
            </w:r>
          </w:p>
        </w:tc>
      </w:tr>
      <w:tr w14:paraId="6B5C88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9" w:hRule="atLeast"/>
          <w:jc w:val="center"/>
        </w:trPr>
        <w:tc>
          <w:tcPr>
            <w:tcW w:w="607" w:type="dxa"/>
            <w:vMerge w:val="continue"/>
            <w:vAlign w:val="center"/>
          </w:tcPr>
          <w:p w14:paraId="5FF10C9A">
            <w:pPr>
              <w:jc w:val="center"/>
              <w:rPr>
                <w:rFonts w:ascii="仿宋" w:hAnsi="仿宋" w:eastAsia="仿宋"/>
                <w:b/>
                <w:color w:val="auto"/>
                <w:sz w:val="24"/>
                <w:szCs w:val="24"/>
                <w:highlight w:val="none"/>
              </w:rPr>
            </w:pPr>
          </w:p>
        </w:tc>
        <w:tc>
          <w:tcPr>
            <w:tcW w:w="3993" w:type="dxa"/>
          </w:tcPr>
          <w:p w14:paraId="6BB921F8">
            <w:pPr>
              <w:jc w:val="left"/>
              <w:rPr>
                <w:rFonts w:ascii="仿宋" w:hAnsi="仿宋" w:eastAsia="仿宋"/>
                <w:b/>
                <w:color w:val="auto"/>
                <w:szCs w:val="24"/>
                <w:highlight w:val="none"/>
              </w:rPr>
            </w:pPr>
            <w:r>
              <w:rPr>
                <w:rFonts w:hint="eastAsia" w:ascii="仿宋" w:hAnsi="仿宋" w:eastAsia="仿宋"/>
                <w:b/>
                <w:color w:val="auto"/>
                <w:szCs w:val="24"/>
                <w:highlight w:val="none"/>
              </w:rPr>
              <w:t>空调套管：</w:t>
            </w:r>
            <w:r>
              <w:rPr>
                <w:rFonts w:hint="eastAsia" w:ascii="仿宋" w:hAnsi="仿宋" w:eastAsia="仿宋"/>
                <w:color w:val="auto"/>
                <w:szCs w:val="24"/>
                <w:highlight w:val="none"/>
              </w:rPr>
              <w:t>外填充墙上空调孔套管采用预制块砌筑，外低内高。</w:t>
            </w:r>
          </w:p>
        </w:tc>
        <w:tc>
          <w:tcPr>
            <w:tcW w:w="3828" w:type="dxa"/>
          </w:tcPr>
          <w:p w14:paraId="7F144529">
            <w:pPr>
              <w:jc w:val="left"/>
              <w:rPr>
                <w:rFonts w:ascii="仿宋" w:hAnsi="仿宋" w:eastAsia="仿宋"/>
                <w:b/>
                <w:color w:val="auto"/>
                <w:szCs w:val="24"/>
                <w:highlight w:val="none"/>
              </w:rPr>
            </w:pPr>
            <w:r>
              <w:rPr>
                <w:rFonts w:hint="eastAsia" w:ascii="仿宋" w:hAnsi="仿宋" w:eastAsia="仿宋"/>
                <w:b/>
                <w:color w:val="auto"/>
                <w:szCs w:val="24"/>
                <w:highlight w:val="none"/>
              </w:rPr>
              <w:t>外墙及铝窗边试水：每栋沿建筑一周</w:t>
            </w:r>
            <w:r>
              <w:rPr>
                <w:rFonts w:hint="eastAsia" w:ascii="仿宋" w:hAnsi="仿宋" w:eastAsia="仿宋"/>
                <w:color w:val="auto"/>
                <w:szCs w:val="24"/>
                <w:highlight w:val="none"/>
              </w:rPr>
              <w:t>布管2圈（顶层和中间层），水压、位置满足要求，持续试水12小时。</w:t>
            </w:r>
          </w:p>
        </w:tc>
      </w:tr>
      <w:tr w14:paraId="635DE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4" w:hRule="atLeast"/>
          <w:jc w:val="center"/>
        </w:trPr>
        <w:tc>
          <w:tcPr>
            <w:tcW w:w="607" w:type="dxa"/>
            <w:vMerge w:val="restart"/>
            <w:vAlign w:val="center"/>
          </w:tcPr>
          <w:p w14:paraId="65B596B3">
            <w:pPr>
              <w:jc w:val="center"/>
              <w:rPr>
                <w:rFonts w:ascii="仿宋" w:hAnsi="仿宋" w:eastAsia="仿宋"/>
                <w:b/>
                <w:color w:val="auto"/>
                <w:sz w:val="24"/>
                <w:szCs w:val="24"/>
                <w:highlight w:val="none"/>
              </w:rPr>
            </w:pPr>
            <w:r>
              <w:rPr>
                <w:rFonts w:hint="eastAsia" w:ascii="仿宋" w:hAnsi="仿宋" w:eastAsia="仿宋"/>
                <w:b/>
                <w:color w:val="auto"/>
                <w:sz w:val="24"/>
                <w:szCs w:val="24"/>
                <w:highlight w:val="none"/>
              </w:rPr>
              <w:t>5</w:t>
            </w:r>
          </w:p>
        </w:tc>
        <w:tc>
          <w:tcPr>
            <w:tcW w:w="3993" w:type="dxa"/>
          </w:tcPr>
          <w:p w14:paraId="693CBD5A">
            <w:pPr>
              <w:jc w:val="center"/>
              <w:rPr>
                <w:rFonts w:ascii="仿宋" w:hAnsi="仿宋" w:eastAsia="仿宋"/>
                <w:b/>
                <w:color w:val="auto"/>
                <w:sz w:val="24"/>
                <w:szCs w:val="24"/>
                <w:highlight w:val="none"/>
              </w:rPr>
            </w:pPr>
            <w:r>
              <w:rPr>
                <w:rFonts w:ascii="仿宋" w:hAnsi="仿宋" w:eastAsia="仿宋"/>
                <w:b/>
                <w:color w:val="auto"/>
                <w:sz w:val="24"/>
                <w:szCs w:val="24"/>
                <w:highlight w:val="none"/>
              </w:rPr>
              <w:drawing>
                <wp:inline distT="0" distB="0" distL="0" distR="0">
                  <wp:extent cx="2268855" cy="1659255"/>
                  <wp:effectExtent l="0" t="0" r="0" b="0"/>
                  <wp:docPr id="4" name="图片 4" descr="CIMG1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IMG14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268855" cy="1659255"/>
                          </a:xfrm>
                          <a:prstGeom prst="rect">
                            <a:avLst/>
                          </a:prstGeom>
                          <a:noFill/>
                          <a:ln>
                            <a:noFill/>
                          </a:ln>
                        </pic:spPr>
                      </pic:pic>
                    </a:graphicData>
                  </a:graphic>
                </wp:inline>
              </w:drawing>
            </w:r>
          </w:p>
        </w:tc>
        <w:tc>
          <w:tcPr>
            <w:tcW w:w="3828" w:type="dxa"/>
          </w:tcPr>
          <w:p w14:paraId="3E967106">
            <w:pPr>
              <w:jc w:val="center"/>
              <w:rPr>
                <w:rFonts w:ascii="仿宋" w:hAnsi="仿宋" w:eastAsia="仿宋"/>
                <w:b/>
                <w:color w:val="auto"/>
                <w:sz w:val="24"/>
                <w:szCs w:val="24"/>
                <w:highlight w:val="none"/>
              </w:rPr>
            </w:pPr>
            <w:r>
              <w:rPr>
                <w:rFonts w:ascii="仿宋" w:hAnsi="仿宋" w:eastAsia="仿宋"/>
                <w:b/>
                <w:color w:val="auto"/>
                <w:sz w:val="24"/>
                <w:szCs w:val="24"/>
                <w:highlight w:val="none"/>
              </w:rPr>
              <w:drawing>
                <wp:inline distT="0" distB="0" distL="0" distR="0">
                  <wp:extent cx="2353945" cy="1659255"/>
                  <wp:effectExtent l="0" t="0" r="8255" b="0"/>
                  <wp:docPr id="3" name="图片 3" descr="DSCF06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SCF0694.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353945" cy="1659255"/>
                          </a:xfrm>
                          <a:prstGeom prst="rect">
                            <a:avLst/>
                          </a:prstGeom>
                          <a:noFill/>
                          <a:ln>
                            <a:noFill/>
                          </a:ln>
                        </pic:spPr>
                      </pic:pic>
                    </a:graphicData>
                  </a:graphic>
                </wp:inline>
              </w:drawing>
            </w:r>
          </w:p>
        </w:tc>
      </w:tr>
      <w:tr w14:paraId="017D2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9" w:hRule="atLeast"/>
          <w:jc w:val="center"/>
        </w:trPr>
        <w:tc>
          <w:tcPr>
            <w:tcW w:w="607" w:type="dxa"/>
            <w:vMerge w:val="continue"/>
            <w:vAlign w:val="center"/>
          </w:tcPr>
          <w:p w14:paraId="54128CE5">
            <w:pPr>
              <w:jc w:val="center"/>
              <w:rPr>
                <w:rFonts w:ascii="仿宋" w:hAnsi="仿宋" w:eastAsia="仿宋"/>
                <w:b/>
                <w:color w:val="auto"/>
                <w:sz w:val="24"/>
                <w:szCs w:val="24"/>
                <w:highlight w:val="none"/>
              </w:rPr>
            </w:pPr>
          </w:p>
        </w:tc>
        <w:tc>
          <w:tcPr>
            <w:tcW w:w="3993" w:type="dxa"/>
          </w:tcPr>
          <w:p w14:paraId="2C646E04">
            <w:pPr>
              <w:jc w:val="left"/>
              <w:rPr>
                <w:rFonts w:ascii="仿宋" w:hAnsi="仿宋" w:eastAsia="仿宋"/>
                <w:color w:val="auto"/>
                <w:highlight w:val="none"/>
              </w:rPr>
            </w:pPr>
            <w:r>
              <w:rPr>
                <w:rFonts w:hint="eastAsia" w:ascii="仿宋" w:hAnsi="仿宋" w:eastAsia="仿宋"/>
                <w:b/>
                <w:color w:val="auto"/>
                <w:szCs w:val="24"/>
                <w:highlight w:val="none"/>
              </w:rPr>
              <w:t>外墙孔洞封堵：</w:t>
            </w:r>
            <w:r>
              <w:rPr>
                <w:rFonts w:hint="eastAsia" w:ascii="仿宋" w:hAnsi="仿宋" w:eastAsia="仿宋"/>
                <w:color w:val="auto"/>
                <w:szCs w:val="24"/>
                <w:highlight w:val="none"/>
              </w:rPr>
              <w:t>螺杆洞封堵密实，防水处理到位；连墙件、槽钢洞等后补洞未采用细石混凝土封堵。</w:t>
            </w:r>
          </w:p>
        </w:tc>
        <w:tc>
          <w:tcPr>
            <w:tcW w:w="3828" w:type="dxa"/>
          </w:tcPr>
          <w:p w14:paraId="23EDA34E">
            <w:pPr>
              <w:jc w:val="left"/>
              <w:rPr>
                <w:rFonts w:ascii="仿宋" w:hAnsi="仿宋" w:eastAsia="仿宋"/>
                <w:b/>
                <w:color w:val="auto"/>
                <w:szCs w:val="24"/>
                <w:highlight w:val="none"/>
              </w:rPr>
            </w:pPr>
            <w:r>
              <w:rPr>
                <w:rFonts w:hint="eastAsia" w:ascii="仿宋" w:hAnsi="仿宋" w:eastAsia="仿宋"/>
                <w:b/>
                <w:color w:val="auto"/>
                <w:szCs w:val="24"/>
                <w:highlight w:val="none"/>
              </w:rPr>
              <w:t>抹灰养护：</w:t>
            </w:r>
            <w:r>
              <w:rPr>
                <w:rFonts w:hint="eastAsia" w:ascii="仿宋" w:hAnsi="仿宋" w:eastAsia="仿宋"/>
                <w:color w:val="auto"/>
                <w:szCs w:val="24"/>
                <w:highlight w:val="none"/>
              </w:rPr>
              <w:t>抹灰完成4-6小时后必须进行洒水养护。</w:t>
            </w:r>
          </w:p>
        </w:tc>
      </w:tr>
      <w:tr w14:paraId="49E12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4" w:hRule="atLeast"/>
          <w:jc w:val="center"/>
        </w:trPr>
        <w:tc>
          <w:tcPr>
            <w:tcW w:w="607" w:type="dxa"/>
            <w:vMerge w:val="restart"/>
            <w:vAlign w:val="center"/>
          </w:tcPr>
          <w:p w14:paraId="76083209">
            <w:pPr>
              <w:jc w:val="center"/>
              <w:rPr>
                <w:rFonts w:ascii="仿宋" w:hAnsi="仿宋" w:eastAsia="仿宋"/>
                <w:b/>
                <w:color w:val="auto"/>
                <w:sz w:val="24"/>
                <w:szCs w:val="24"/>
                <w:highlight w:val="none"/>
              </w:rPr>
            </w:pPr>
            <w:r>
              <w:rPr>
                <w:rFonts w:hint="eastAsia" w:ascii="仿宋" w:hAnsi="仿宋" w:eastAsia="仿宋"/>
                <w:b/>
                <w:color w:val="auto"/>
                <w:sz w:val="24"/>
                <w:szCs w:val="24"/>
                <w:highlight w:val="none"/>
              </w:rPr>
              <w:t>6</w:t>
            </w:r>
          </w:p>
        </w:tc>
        <w:tc>
          <w:tcPr>
            <w:tcW w:w="3993" w:type="dxa"/>
          </w:tcPr>
          <w:p w14:paraId="5789C64E">
            <w:pPr>
              <w:jc w:val="center"/>
              <w:rPr>
                <w:rFonts w:ascii="仿宋" w:hAnsi="仿宋" w:eastAsia="仿宋"/>
                <w:b/>
                <w:color w:val="auto"/>
                <w:sz w:val="24"/>
                <w:szCs w:val="24"/>
                <w:highlight w:val="none"/>
              </w:rPr>
            </w:pPr>
            <w:r>
              <w:rPr>
                <w:color w:val="auto"/>
                <w:highlight w:val="none"/>
              </w:rPr>
              <w:drawing>
                <wp:inline distT="0" distB="0" distL="0" distR="0">
                  <wp:extent cx="2395855" cy="1659255"/>
                  <wp:effectExtent l="0" t="0" r="444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2395855" cy="1659255"/>
                          </a:xfrm>
                          <a:prstGeom prst="rect">
                            <a:avLst/>
                          </a:prstGeom>
                          <a:noFill/>
                          <a:ln>
                            <a:noFill/>
                          </a:ln>
                        </pic:spPr>
                      </pic:pic>
                    </a:graphicData>
                  </a:graphic>
                </wp:inline>
              </w:drawing>
            </w:r>
          </w:p>
        </w:tc>
        <w:tc>
          <w:tcPr>
            <w:tcW w:w="3828" w:type="dxa"/>
          </w:tcPr>
          <w:p w14:paraId="1AA96FD6">
            <w:pPr>
              <w:jc w:val="center"/>
              <w:rPr>
                <w:rFonts w:ascii="仿宋" w:hAnsi="仿宋" w:eastAsia="仿宋"/>
                <w:b/>
                <w:color w:val="auto"/>
                <w:sz w:val="24"/>
                <w:szCs w:val="24"/>
                <w:highlight w:val="none"/>
              </w:rPr>
            </w:pPr>
            <w:r>
              <w:rPr>
                <w:rFonts w:ascii="仿宋" w:hAnsi="仿宋" w:eastAsia="仿宋"/>
                <w:b/>
                <w:color w:val="auto"/>
                <w:sz w:val="24"/>
                <w:szCs w:val="24"/>
                <w:highlight w:val="none"/>
              </w:rPr>
              <w:drawing>
                <wp:inline distT="0" distB="0" distL="0" distR="0">
                  <wp:extent cx="2294255" cy="1651000"/>
                  <wp:effectExtent l="0" t="0" r="0" b="6350"/>
                  <wp:docPr id="1" name="图片 1" descr="16234015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623401579(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2294255" cy="1651000"/>
                          </a:xfrm>
                          <a:prstGeom prst="rect">
                            <a:avLst/>
                          </a:prstGeom>
                          <a:noFill/>
                          <a:ln>
                            <a:noFill/>
                          </a:ln>
                        </pic:spPr>
                      </pic:pic>
                    </a:graphicData>
                  </a:graphic>
                </wp:inline>
              </w:drawing>
            </w:r>
          </w:p>
        </w:tc>
      </w:tr>
      <w:tr w14:paraId="2149A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607" w:type="dxa"/>
            <w:vMerge w:val="continue"/>
            <w:vAlign w:val="center"/>
          </w:tcPr>
          <w:p w14:paraId="10CDC09C">
            <w:pPr>
              <w:jc w:val="center"/>
              <w:rPr>
                <w:rFonts w:ascii="仿宋" w:hAnsi="仿宋" w:eastAsia="仿宋"/>
                <w:b/>
                <w:color w:val="auto"/>
                <w:sz w:val="24"/>
                <w:szCs w:val="24"/>
                <w:highlight w:val="none"/>
              </w:rPr>
            </w:pPr>
          </w:p>
        </w:tc>
        <w:tc>
          <w:tcPr>
            <w:tcW w:w="7821" w:type="dxa"/>
            <w:gridSpan w:val="2"/>
            <w:vAlign w:val="center"/>
          </w:tcPr>
          <w:p w14:paraId="3FE253BE">
            <w:pPr>
              <w:jc w:val="left"/>
              <w:rPr>
                <w:rFonts w:ascii="仿宋" w:hAnsi="仿宋" w:eastAsia="仿宋"/>
                <w:b/>
                <w:color w:val="auto"/>
                <w:szCs w:val="24"/>
                <w:highlight w:val="none"/>
              </w:rPr>
            </w:pPr>
            <w:r>
              <w:rPr>
                <w:rFonts w:hint="eastAsia" w:ascii="仿宋" w:hAnsi="仿宋" w:eastAsia="仿宋"/>
                <w:b/>
                <w:color w:val="auto"/>
                <w:szCs w:val="24"/>
                <w:highlight w:val="none"/>
              </w:rPr>
              <w:t>屋面工程：</w:t>
            </w:r>
            <w:r>
              <w:rPr>
                <w:rFonts w:hint="eastAsia" w:ascii="仿宋" w:hAnsi="仿宋" w:eastAsia="仿宋"/>
                <w:color w:val="auto"/>
                <w:szCs w:val="24"/>
                <w:highlight w:val="none"/>
              </w:rPr>
              <w:t>屋面找平放坡、伸缩缝设置、观感符合要求；管边收口要求设置300-500mm脚墩、透气立管高度2000mm、R角、找坡符合要求。</w:t>
            </w:r>
          </w:p>
        </w:tc>
      </w:tr>
      <w:tr w14:paraId="7B3921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8428" w:type="dxa"/>
            <w:gridSpan w:val="3"/>
            <w:vAlign w:val="center"/>
          </w:tcPr>
          <w:p w14:paraId="04551A23">
            <w:pPr>
              <w:jc w:val="left"/>
              <w:rPr>
                <w:rFonts w:ascii="仿宋" w:hAnsi="仿宋" w:eastAsia="仿宋"/>
                <w:b/>
                <w:color w:val="auto"/>
                <w:szCs w:val="24"/>
                <w:highlight w:val="none"/>
              </w:rPr>
            </w:pPr>
            <w:r>
              <w:rPr>
                <w:rFonts w:hint="eastAsia" w:ascii="仿宋" w:hAnsi="仿宋" w:eastAsia="仿宋"/>
                <w:b/>
                <w:color w:val="auto"/>
                <w:szCs w:val="24"/>
                <w:highlight w:val="none"/>
              </w:rPr>
              <w:t>备注：其他工艺按图纸和规范执行。有新的施工工艺、工法，</w:t>
            </w:r>
            <w:r>
              <w:rPr>
                <w:rFonts w:hint="eastAsia" w:ascii="仿宋" w:hAnsi="仿宋" w:eastAsia="仿宋"/>
                <w:b/>
                <w:color w:val="auto"/>
                <w:szCs w:val="24"/>
                <w:highlight w:val="none"/>
                <w:lang w:eastAsia="zh-CN"/>
              </w:rPr>
              <w:t>总承包人</w:t>
            </w:r>
            <w:r>
              <w:rPr>
                <w:rFonts w:hint="eastAsia" w:ascii="仿宋" w:hAnsi="仿宋" w:eastAsia="仿宋"/>
                <w:b/>
                <w:color w:val="auto"/>
                <w:szCs w:val="24"/>
                <w:highlight w:val="none"/>
              </w:rPr>
              <w:t>可以推荐给建设单位进行审批。</w:t>
            </w:r>
          </w:p>
        </w:tc>
      </w:tr>
    </w:tbl>
    <w:p w14:paraId="4630A299">
      <w:pPr>
        <w:pStyle w:val="36"/>
        <w:rPr>
          <w:rFonts w:ascii="仿宋" w:hAnsi="仿宋" w:eastAsia="仿宋"/>
          <w:color w:val="auto"/>
          <w:highlight w:val="none"/>
        </w:rPr>
      </w:pPr>
    </w:p>
    <w:p w14:paraId="18168B61">
      <w:pPr>
        <w:spacing w:line="360" w:lineRule="auto"/>
        <w:jc w:val="left"/>
        <w:outlineLvl w:val="1"/>
        <w:rPr>
          <w:rFonts w:ascii="仿宋" w:hAnsi="仿宋" w:eastAsia="仿宋"/>
          <w:b/>
          <w:bCs/>
          <w:color w:val="auto"/>
          <w:kern w:val="0"/>
          <w:sz w:val="24"/>
          <w:szCs w:val="24"/>
          <w:highlight w:val="none"/>
        </w:rPr>
      </w:pPr>
      <w:bookmarkStart w:id="12" w:name="_Toc32205"/>
      <w:r>
        <w:rPr>
          <w:rFonts w:hint="eastAsia" w:ascii="仿宋" w:hAnsi="仿宋" w:eastAsia="仿宋"/>
          <w:b/>
          <w:bCs/>
          <w:color w:val="auto"/>
          <w:kern w:val="0"/>
          <w:sz w:val="24"/>
          <w:szCs w:val="24"/>
          <w:highlight w:val="none"/>
        </w:rPr>
        <w:t xml:space="preserve">第四条 </w:t>
      </w:r>
      <w:r>
        <w:rPr>
          <w:rFonts w:ascii="仿宋" w:hAnsi="仿宋" w:eastAsia="仿宋"/>
          <w:b/>
          <w:bCs/>
          <w:color w:val="auto"/>
          <w:kern w:val="0"/>
          <w:sz w:val="24"/>
          <w:szCs w:val="24"/>
          <w:highlight w:val="none"/>
        </w:rPr>
        <w:t xml:space="preserve"> 安全文明</w:t>
      </w:r>
      <w:r>
        <w:rPr>
          <w:rFonts w:hint="eastAsia" w:ascii="仿宋" w:hAnsi="仿宋" w:eastAsia="仿宋"/>
          <w:b/>
          <w:bCs/>
          <w:color w:val="auto"/>
          <w:kern w:val="0"/>
          <w:sz w:val="24"/>
          <w:szCs w:val="24"/>
          <w:highlight w:val="none"/>
        </w:rPr>
        <w:t>方面</w:t>
      </w:r>
      <w:bookmarkEnd w:id="12"/>
    </w:p>
    <w:p w14:paraId="4EA1EA40">
      <w:pPr>
        <w:spacing w:line="360" w:lineRule="auto"/>
        <w:ind w:firstLine="480" w:firstLineChars="200"/>
        <w:rPr>
          <w:rFonts w:ascii="仿宋" w:hAnsi="仿宋" w:eastAsia="仿宋"/>
          <w:color w:val="auto"/>
          <w:sz w:val="24"/>
          <w:szCs w:val="24"/>
          <w:highlight w:val="none"/>
        </w:rPr>
      </w:pPr>
      <w:bookmarkStart w:id="13" w:name="_Toc468786019"/>
      <w:r>
        <w:rPr>
          <w:rFonts w:hint="eastAsia" w:ascii="仿宋" w:hAnsi="仿宋" w:eastAsia="仿宋"/>
          <w:color w:val="auto"/>
          <w:sz w:val="24"/>
          <w:szCs w:val="24"/>
          <w:highlight w:val="none"/>
        </w:rPr>
        <w:t>（一）开工安全条件准备</w:t>
      </w:r>
      <w:bookmarkEnd w:id="13"/>
    </w:p>
    <w:p w14:paraId="7B0767BD">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在开工前，</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和监理单位落实建筑工程开工安全条件的各项内容；完善工地现场各项临时设施，如大门、围墙、办公生活设施、施工用电设施等；填写《建筑工程开工安全条件审查申请表》；申请进行建筑工程开工安全条件审查。</w:t>
      </w:r>
    </w:p>
    <w:p w14:paraId="578E6555">
      <w:pPr>
        <w:spacing w:line="360" w:lineRule="auto"/>
        <w:ind w:firstLine="480" w:firstLineChars="200"/>
        <w:rPr>
          <w:rFonts w:ascii="仿宋" w:hAnsi="仿宋" w:eastAsia="仿宋"/>
          <w:color w:val="auto"/>
          <w:sz w:val="24"/>
          <w:szCs w:val="24"/>
          <w:highlight w:val="none"/>
        </w:rPr>
      </w:pPr>
      <w:bookmarkStart w:id="14" w:name="_Toc468786020"/>
      <w:r>
        <w:rPr>
          <w:rFonts w:hint="eastAsia" w:ascii="仿宋" w:hAnsi="仿宋" w:eastAsia="仿宋"/>
          <w:color w:val="auto"/>
          <w:sz w:val="24"/>
          <w:szCs w:val="24"/>
          <w:highlight w:val="none"/>
        </w:rPr>
        <w:t>（二）项目安全管理机构设置</w:t>
      </w:r>
      <w:bookmarkEnd w:id="14"/>
    </w:p>
    <w:p w14:paraId="3627EC05">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建立健全各项安全生产规章制度和操作规程</w:t>
      </w:r>
    </w:p>
    <w:p w14:paraId="0B215026">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 xml:space="preserve">1、设置项目安全管理机构。（包括项目经理、项目技术负责人、专职安全员、专职设备管理人员等相关人员） </w:t>
      </w:r>
    </w:p>
    <w:p w14:paraId="0C93970E">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的主要负责人、项目负责人应按规定履行各自的安全生产管理职责。专职安全员负责对安全生产进行现场监督检查。</w:t>
      </w:r>
    </w:p>
    <w:p w14:paraId="7B1336E6">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3、悬挂项目安全管理组织机构框架图及各项规章制度牌。</w:t>
      </w:r>
    </w:p>
    <w:p w14:paraId="57B4D773">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4、总承包方工程部专职安全员的配备应符合如下要求：</w:t>
      </w:r>
    </w:p>
    <w:tbl>
      <w:tblPr>
        <w:tblStyle w:val="3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07"/>
        <w:gridCol w:w="2453"/>
        <w:gridCol w:w="2131"/>
        <w:gridCol w:w="2131"/>
      </w:tblGrid>
      <w:tr w14:paraId="238FB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09" w:type="dxa"/>
            <w:tcBorders>
              <w:tl2br w:val="single" w:color="auto" w:sz="4" w:space="0"/>
            </w:tcBorders>
            <w:vAlign w:val="center"/>
          </w:tcPr>
          <w:p w14:paraId="44FBA258">
            <w:pPr>
              <w:rPr>
                <w:rFonts w:ascii="仿宋" w:hAnsi="仿宋" w:eastAsia="仿宋"/>
                <w:color w:val="auto"/>
                <w:sz w:val="18"/>
                <w:szCs w:val="18"/>
                <w:highlight w:val="none"/>
              </w:rPr>
            </w:pPr>
            <w:r>
              <w:rPr>
                <w:rFonts w:hint="eastAsia" w:ascii="仿宋" w:hAnsi="仿宋" w:eastAsia="仿宋"/>
                <w:color w:val="auto"/>
                <w:sz w:val="18"/>
                <w:szCs w:val="18"/>
                <w:highlight w:val="none"/>
              </w:rPr>
              <w:t xml:space="preserve">          规模</w:t>
            </w:r>
          </w:p>
          <w:p w14:paraId="1A8D2A26">
            <w:pPr>
              <w:rPr>
                <w:rFonts w:ascii="仿宋" w:hAnsi="仿宋" w:eastAsia="仿宋"/>
                <w:color w:val="auto"/>
                <w:sz w:val="18"/>
                <w:szCs w:val="18"/>
                <w:highlight w:val="none"/>
              </w:rPr>
            </w:pPr>
            <w:r>
              <w:rPr>
                <w:rFonts w:ascii="仿宋" w:hAnsi="仿宋" w:eastAsia="仿宋"/>
                <w:color w:val="auto"/>
                <w:sz w:val="18"/>
                <w:szCs w:val="18"/>
                <w:highlight w:val="none"/>
              </w:rPr>
              <w:t>工程类别</w:t>
            </w:r>
          </w:p>
        </w:tc>
        <w:tc>
          <w:tcPr>
            <w:tcW w:w="2455" w:type="dxa"/>
            <w:vAlign w:val="center"/>
          </w:tcPr>
          <w:p w14:paraId="42700127">
            <w:pPr>
              <w:rPr>
                <w:rFonts w:ascii="仿宋" w:hAnsi="仿宋" w:eastAsia="仿宋"/>
                <w:color w:val="auto"/>
                <w:sz w:val="18"/>
                <w:szCs w:val="18"/>
                <w:highlight w:val="none"/>
              </w:rPr>
            </w:pPr>
            <w:r>
              <w:rPr>
                <w:rFonts w:hint="eastAsia" w:ascii="仿宋" w:hAnsi="仿宋" w:eastAsia="仿宋"/>
                <w:color w:val="auto"/>
                <w:sz w:val="18"/>
                <w:szCs w:val="18"/>
                <w:highlight w:val="none"/>
              </w:rPr>
              <w:t>5万平及以上（1亿元及以上）</w:t>
            </w:r>
          </w:p>
        </w:tc>
        <w:tc>
          <w:tcPr>
            <w:tcW w:w="2132" w:type="dxa"/>
            <w:vAlign w:val="center"/>
          </w:tcPr>
          <w:p w14:paraId="33F9F421">
            <w:pPr>
              <w:rPr>
                <w:rFonts w:ascii="仿宋" w:hAnsi="仿宋" w:eastAsia="仿宋"/>
                <w:color w:val="auto"/>
                <w:sz w:val="18"/>
                <w:szCs w:val="18"/>
                <w:highlight w:val="none"/>
              </w:rPr>
            </w:pPr>
            <w:r>
              <w:rPr>
                <w:rFonts w:ascii="仿宋" w:hAnsi="仿宋" w:eastAsia="仿宋"/>
                <w:color w:val="auto"/>
                <w:sz w:val="18"/>
                <w:szCs w:val="18"/>
                <w:highlight w:val="none"/>
              </w:rPr>
              <w:t>1</w:t>
            </w:r>
            <w:r>
              <w:rPr>
                <w:rFonts w:hint="eastAsia" w:ascii="仿宋" w:hAnsi="仿宋" w:eastAsia="仿宋"/>
                <w:color w:val="auto"/>
                <w:sz w:val="18"/>
                <w:szCs w:val="18"/>
                <w:highlight w:val="none"/>
              </w:rPr>
              <w:t>万-</w:t>
            </w:r>
            <w:r>
              <w:rPr>
                <w:rFonts w:ascii="仿宋" w:hAnsi="仿宋" w:eastAsia="仿宋"/>
                <w:color w:val="auto"/>
                <w:sz w:val="18"/>
                <w:szCs w:val="18"/>
                <w:highlight w:val="none"/>
              </w:rPr>
              <w:t>5万</w:t>
            </w:r>
            <w:r>
              <w:rPr>
                <w:rFonts w:hint="eastAsia" w:ascii="仿宋" w:hAnsi="仿宋" w:eastAsia="仿宋"/>
                <w:color w:val="auto"/>
                <w:sz w:val="18"/>
                <w:szCs w:val="18"/>
                <w:highlight w:val="none"/>
              </w:rPr>
              <w:t>平米（</w:t>
            </w:r>
            <w:r>
              <w:rPr>
                <w:rFonts w:ascii="仿宋" w:hAnsi="仿宋" w:eastAsia="仿宋"/>
                <w:color w:val="auto"/>
                <w:sz w:val="18"/>
                <w:szCs w:val="18"/>
                <w:highlight w:val="none"/>
              </w:rPr>
              <w:t>5000万</w:t>
            </w:r>
            <w:r>
              <w:rPr>
                <w:rFonts w:hint="eastAsia" w:ascii="仿宋" w:hAnsi="仿宋" w:eastAsia="仿宋"/>
                <w:color w:val="auto"/>
                <w:sz w:val="18"/>
                <w:szCs w:val="18"/>
                <w:highlight w:val="none"/>
              </w:rPr>
              <w:t>-</w:t>
            </w:r>
            <w:r>
              <w:rPr>
                <w:rFonts w:ascii="仿宋" w:hAnsi="仿宋" w:eastAsia="仿宋"/>
                <w:color w:val="auto"/>
                <w:sz w:val="18"/>
                <w:szCs w:val="18"/>
                <w:highlight w:val="none"/>
              </w:rPr>
              <w:t>1</w:t>
            </w:r>
            <w:r>
              <w:rPr>
                <w:rFonts w:hint="eastAsia" w:ascii="仿宋" w:hAnsi="仿宋" w:eastAsia="仿宋"/>
                <w:color w:val="auto"/>
                <w:sz w:val="18"/>
                <w:szCs w:val="18"/>
                <w:highlight w:val="none"/>
              </w:rPr>
              <w:t>亿元）</w:t>
            </w:r>
          </w:p>
        </w:tc>
        <w:tc>
          <w:tcPr>
            <w:tcW w:w="2132" w:type="dxa"/>
            <w:vAlign w:val="center"/>
          </w:tcPr>
          <w:p w14:paraId="6F647704">
            <w:pPr>
              <w:rPr>
                <w:rFonts w:ascii="仿宋" w:hAnsi="仿宋" w:eastAsia="仿宋"/>
                <w:color w:val="auto"/>
                <w:sz w:val="18"/>
                <w:szCs w:val="18"/>
                <w:highlight w:val="none"/>
              </w:rPr>
            </w:pPr>
            <w:r>
              <w:rPr>
                <w:rFonts w:ascii="仿宋" w:hAnsi="仿宋" w:eastAsia="仿宋"/>
                <w:color w:val="auto"/>
                <w:sz w:val="18"/>
                <w:szCs w:val="18"/>
                <w:highlight w:val="none"/>
              </w:rPr>
              <w:t>1</w:t>
            </w:r>
            <w:r>
              <w:rPr>
                <w:rFonts w:hint="eastAsia" w:ascii="仿宋" w:hAnsi="仿宋" w:eastAsia="仿宋"/>
                <w:color w:val="auto"/>
                <w:sz w:val="18"/>
                <w:szCs w:val="18"/>
                <w:highlight w:val="none"/>
              </w:rPr>
              <w:t>万-</w:t>
            </w:r>
            <w:r>
              <w:rPr>
                <w:rFonts w:ascii="仿宋" w:hAnsi="仿宋" w:eastAsia="仿宋"/>
                <w:color w:val="auto"/>
                <w:sz w:val="18"/>
                <w:szCs w:val="18"/>
                <w:highlight w:val="none"/>
              </w:rPr>
              <w:t>5万</w:t>
            </w:r>
            <w:r>
              <w:rPr>
                <w:rFonts w:hint="eastAsia" w:ascii="仿宋" w:hAnsi="仿宋" w:eastAsia="仿宋"/>
                <w:color w:val="auto"/>
                <w:sz w:val="18"/>
                <w:szCs w:val="18"/>
                <w:highlight w:val="none"/>
              </w:rPr>
              <w:t>平米（</w:t>
            </w:r>
            <w:r>
              <w:rPr>
                <w:rFonts w:ascii="仿宋" w:hAnsi="仿宋" w:eastAsia="仿宋"/>
                <w:color w:val="auto"/>
                <w:sz w:val="18"/>
                <w:szCs w:val="18"/>
                <w:highlight w:val="none"/>
              </w:rPr>
              <w:t>5000万</w:t>
            </w:r>
            <w:r>
              <w:rPr>
                <w:rFonts w:hint="eastAsia" w:ascii="仿宋" w:hAnsi="仿宋" w:eastAsia="仿宋"/>
                <w:color w:val="auto"/>
                <w:sz w:val="18"/>
                <w:szCs w:val="18"/>
                <w:highlight w:val="none"/>
              </w:rPr>
              <w:t>-</w:t>
            </w:r>
            <w:r>
              <w:rPr>
                <w:rFonts w:ascii="仿宋" w:hAnsi="仿宋" w:eastAsia="仿宋"/>
                <w:color w:val="auto"/>
                <w:sz w:val="18"/>
                <w:szCs w:val="18"/>
                <w:highlight w:val="none"/>
              </w:rPr>
              <w:t>1</w:t>
            </w:r>
            <w:r>
              <w:rPr>
                <w:rFonts w:hint="eastAsia" w:ascii="仿宋" w:hAnsi="仿宋" w:eastAsia="仿宋"/>
                <w:color w:val="auto"/>
                <w:sz w:val="18"/>
                <w:szCs w:val="18"/>
                <w:highlight w:val="none"/>
              </w:rPr>
              <w:t>亿元及以上）</w:t>
            </w:r>
          </w:p>
        </w:tc>
      </w:tr>
      <w:tr w14:paraId="6738FE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1" w:hRule="atLeast"/>
        </w:trPr>
        <w:tc>
          <w:tcPr>
            <w:tcW w:w="1809" w:type="dxa"/>
            <w:vAlign w:val="center"/>
          </w:tcPr>
          <w:p w14:paraId="2DD6EFFD">
            <w:pPr>
              <w:rPr>
                <w:rFonts w:ascii="仿宋" w:hAnsi="仿宋" w:eastAsia="仿宋"/>
                <w:color w:val="auto"/>
                <w:sz w:val="18"/>
                <w:szCs w:val="18"/>
                <w:highlight w:val="none"/>
              </w:rPr>
            </w:pPr>
            <w:r>
              <w:rPr>
                <w:rFonts w:ascii="仿宋" w:hAnsi="仿宋" w:eastAsia="仿宋"/>
                <w:color w:val="auto"/>
                <w:sz w:val="18"/>
                <w:szCs w:val="18"/>
                <w:highlight w:val="none"/>
              </w:rPr>
              <w:t>建筑</w:t>
            </w:r>
            <w:r>
              <w:rPr>
                <w:rFonts w:hint="eastAsia" w:ascii="仿宋" w:hAnsi="仿宋" w:eastAsia="仿宋"/>
                <w:color w:val="auto"/>
                <w:sz w:val="18"/>
                <w:szCs w:val="18"/>
                <w:highlight w:val="none"/>
              </w:rPr>
              <w:t>、</w:t>
            </w:r>
            <w:r>
              <w:rPr>
                <w:rFonts w:ascii="仿宋" w:hAnsi="仿宋" w:eastAsia="仿宋"/>
                <w:color w:val="auto"/>
                <w:sz w:val="18"/>
                <w:szCs w:val="18"/>
                <w:highlight w:val="none"/>
              </w:rPr>
              <w:t>装修</w:t>
            </w:r>
          </w:p>
        </w:tc>
        <w:tc>
          <w:tcPr>
            <w:tcW w:w="2455" w:type="dxa"/>
            <w:vAlign w:val="center"/>
          </w:tcPr>
          <w:p w14:paraId="6730491D">
            <w:pPr>
              <w:rPr>
                <w:rFonts w:ascii="仿宋" w:hAnsi="仿宋" w:eastAsia="仿宋"/>
                <w:color w:val="auto"/>
                <w:sz w:val="18"/>
                <w:szCs w:val="18"/>
                <w:highlight w:val="none"/>
              </w:rPr>
            </w:pPr>
            <w:r>
              <w:rPr>
                <w:rFonts w:ascii="仿宋" w:hAnsi="仿宋" w:eastAsia="仿宋"/>
                <w:color w:val="auto"/>
                <w:sz w:val="18"/>
                <w:szCs w:val="18"/>
                <w:highlight w:val="none"/>
              </w:rPr>
              <w:t>不少于</w:t>
            </w:r>
            <w:r>
              <w:rPr>
                <w:rFonts w:hint="eastAsia" w:ascii="仿宋" w:hAnsi="仿宋" w:eastAsia="仿宋"/>
                <w:color w:val="auto"/>
                <w:sz w:val="18"/>
                <w:szCs w:val="18"/>
                <w:highlight w:val="none"/>
              </w:rPr>
              <w:t>3人</w:t>
            </w:r>
          </w:p>
        </w:tc>
        <w:tc>
          <w:tcPr>
            <w:tcW w:w="2132" w:type="dxa"/>
            <w:vAlign w:val="center"/>
          </w:tcPr>
          <w:p w14:paraId="173C687A">
            <w:pPr>
              <w:rPr>
                <w:rFonts w:ascii="仿宋" w:hAnsi="仿宋" w:eastAsia="仿宋"/>
                <w:color w:val="auto"/>
                <w:sz w:val="18"/>
                <w:szCs w:val="18"/>
                <w:highlight w:val="none"/>
              </w:rPr>
            </w:pPr>
            <w:r>
              <w:rPr>
                <w:rFonts w:ascii="仿宋" w:hAnsi="仿宋" w:eastAsia="仿宋"/>
                <w:color w:val="auto"/>
                <w:sz w:val="18"/>
                <w:szCs w:val="18"/>
                <w:highlight w:val="none"/>
              </w:rPr>
              <w:t>不少于</w:t>
            </w:r>
            <w:r>
              <w:rPr>
                <w:rFonts w:hint="eastAsia" w:ascii="仿宋" w:hAnsi="仿宋" w:eastAsia="仿宋"/>
                <w:color w:val="auto"/>
                <w:sz w:val="18"/>
                <w:szCs w:val="18"/>
                <w:highlight w:val="none"/>
              </w:rPr>
              <w:t>2人</w:t>
            </w:r>
          </w:p>
        </w:tc>
        <w:tc>
          <w:tcPr>
            <w:tcW w:w="2132" w:type="dxa"/>
            <w:vAlign w:val="center"/>
          </w:tcPr>
          <w:p w14:paraId="26449CD7">
            <w:pPr>
              <w:rPr>
                <w:rFonts w:ascii="仿宋" w:hAnsi="仿宋" w:eastAsia="仿宋"/>
                <w:color w:val="auto"/>
                <w:sz w:val="18"/>
                <w:szCs w:val="18"/>
                <w:highlight w:val="none"/>
              </w:rPr>
            </w:pPr>
            <w:r>
              <w:rPr>
                <w:rFonts w:ascii="仿宋" w:hAnsi="仿宋" w:eastAsia="仿宋"/>
                <w:color w:val="auto"/>
                <w:sz w:val="18"/>
                <w:szCs w:val="18"/>
                <w:highlight w:val="none"/>
              </w:rPr>
              <w:t>不少于</w:t>
            </w:r>
            <w:r>
              <w:rPr>
                <w:rFonts w:hint="eastAsia" w:ascii="仿宋" w:hAnsi="仿宋" w:eastAsia="仿宋"/>
                <w:color w:val="auto"/>
                <w:sz w:val="18"/>
                <w:szCs w:val="18"/>
                <w:highlight w:val="none"/>
              </w:rPr>
              <w:t>1人</w:t>
            </w:r>
          </w:p>
        </w:tc>
      </w:tr>
    </w:tbl>
    <w:p w14:paraId="7B16C76A">
      <w:pPr>
        <w:spacing w:line="360" w:lineRule="auto"/>
        <w:ind w:firstLine="480" w:firstLineChars="200"/>
        <w:rPr>
          <w:rFonts w:ascii="仿宋" w:hAnsi="仿宋" w:eastAsia="仿宋"/>
          <w:color w:val="auto"/>
          <w:sz w:val="22"/>
          <w:szCs w:val="24"/>
          <w:highlight w:val="none"/>
        </w:rPr>
      </w:pPr>
      <w:r>
        <w:rPr>
          <w:rFonts w:hint="eastAsia" w:ascii="仿宋" w:hAnsi="仿宋" w:eastAsia="仿宋"/>
          <w:color w:val="auto"/>
          <w:sz w:val="24"/>
          <w:szCs w:val="24"/>
          <w:highlight w:val="none"/>
        </w:rPr>
        <w:t xml:space="preserve"> </w:t>
      </w:r>
      <w:r>
        <w:rPr>
          <w:rFonts w:hint="eastAsia" w:ascii="仿宋" w:hAnsi="仿宋" w:eastAsia="仿宋"/>
          <w:color w:val="auto"/>
          <w:sz w:val="22"/>
          <w:szCs w:val="24"/>
          <w:highlight w:val="none"/>
        </w:rPr>
        <w:t>备注：15~30万平方米配备不少于4人，30万平方米及以上配备不少于5人 。</w:t>
      </w:r>
    </w:p>
    <w:p w14:paraId="4A0F92AD">
      <w:pPr>
        <w:spacing w:line="360" w:lineRule="auto"/>
        <w:ind w:firstLine="480" w:firstLineChars="200"/>
        <w:rPr>
          <w:rFonts w:ascii="仿宋" w:hAnsi="仿宋" w:eastAsia="仿宋"/>
          <w:color w:val="auto"/>
          <w:sz w:val="24"/>
          <w:szCs w:val="24"/>
          <w:highlight w:val="none"/>
        </w:rPr>
      </w:pPr>
      <w:bookmarkStart w:id="15" w:name="_Toc468786021"/>
      <w:r>
        <w:rPr>
          <w:rFonts w:hint="eastAsia" w:ascii="仿宋" w:hAnsi="仿宋" w:eastAsia="仿宋"/>
          <w:color w:val="auto"/>
          <w:sz w:val="24"/>
          <w:szCs w:val="24"/>
          <w:highlight w:val="none"/>
        </w:rPr>
        <w:t>（三）目标管理</w:t>
      </w:r>
      <w:bookmarkEnd w:id="15"/>
    </w:p>
    <w:p w14:paraId="059909FA">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1、制定安全管理目标</w:t>
      </w:r>
    </w:p>
    <w:p w14:paraId="068B01E4">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①伤亡事故控制目标：1、杜绝死亡事故；2、重伤事故为零。</w:t>
      </w:r>
    </w:p>
    <w:p w14:paraId="55FAFCE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②安全达标目标：重大安全事故为零，争创安全生产标准化管理达标工地。</w:t>
      </w:r>
    </w:p>
    <w:p w14:paraId="3FE7BBA7">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③文明施工实现目标：争创市级文明示范工地。</w:t>
      </w:r>
    </w:p>
    <w:p w14:paraId="61D2DD19">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2、分解安全管理目标</w:t>
      </w:r>
    </w:p>
    <w:p w14:paraId="08CCC20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对安全管理目标按基础、主体、装饰三个施工阶段进行分解，制定分阶段目标。</w:t>
      </w:r>
    </w:p>
    <w:p w14:paraId="33B097E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3、落实安全管理责任</w:t>
      </w:r>
    </w:p>
    <w:p w14:paraId="1135E39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将各个分项的安全管理责任分解并落实到各个安全责任人，并按《建筑施工安全检查标准》（JGJ59－2011）进行考核。</w:t>
      </w:r>
    </w:p>
    <w:p w14:paraId="636472A4">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4、安全文明施工措施费</w:t>
      </w:r>
    </w:p>
    <w:p w14:paraId="4C6043D3">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分包进场后应编制安全文明措施费的投入安排和计划报建设单位</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审批，日后也将作为安全文明措施费在进度款审批中的依据之一。安全文明施工的投入必须与安全文明施工投入计划相符，否则将在进度款中给予扣除或按合同条款进行处罚。</w:t>
      </w:r>
    </w:p>
    <w:p w14:paraId="219D6357">
      <w:pPr>
        <w:spacing w:line="360" w:lineRule="auto"/>
        <w:ind w:firstLine="480" w:firstLineChars="200"/>
        <w:rPr>
          <w:rFonts w:ascii="仿宋" w:hAnsi="仿宋" w:eastAsia="仿宋"/>
          <w:color w:val="auto"/>
          <w:sz w:val="24"/>
          <w:szCs w:val="24"/>
          <w:highlight w:val="none"/>
        </w:rPr>
      </w:pPr>
      <w:bookmarkStart w:id="16" w:name="_Toc468786022"/>
      <w:r>
        <w:rPr>
          <w:rFonts w:hint="eastAsia" w:ascii="仿宋" w:hAnsi="仿宋" w:eastAsia="仿宋"/>
          <w:color w:val="auto"/>
          <w:sz w:val="24"/>
          <w:szCs w:val="24"/>
          <w:highlight w:val="none"/>
        </w:rPr>
        <w:t>（四）施工组织设计及专项施工方案</w:t>
      </w:r>
      <w:bookmarkEnd w:id="16"/>
    </w:p>
    <w:p w14:paraId="1A2F2D2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1、施工组织设计：针对工程特点编制施工组织设计。</w:t>
      </w:r>
    </w:p>
    <w:p w14:paraId="281E717E">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①必须包括相应的：安全技术措施；施工现场临时用电方案；应急救援预案；建筑起重机械的安装（拆卸）。</w:t>
      </w:r>
    </w:p>
    <w:p w14:paraId="00914DCA">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fldChar w:fldCharType="begin"/>
      </w:r>
      <w:r>
        <w:rPr>
          <w:rFonts w:hint="eastAsia" w:ascii="仿宋" w:hAnsi="仿宋" w:eastAsia="仿宋"/>
          <w:color w:val="auto"/>
          <w:sz w:val="24"/>
          <w:szCs w:val="24"/>
          <w:highlight w:val="none"/>
        </w:rPr>
        <w:instrText xml:space="preserve"> = 2 \* GB3 </w:instrText>
      </w:r>
      <w:r>
        <w:rPr>
          <w:rFonts w:hint="eastAsia" w:ascii="仿宋" w:hAnsi="仿宋" w:eastAsia="仿宋"/>
          <w:color w:val="auto"/>
          <w:sz w:val="24"/>
          <w:szCs w:val="24"/>
          <w:highlight w:val="none"/>
        </w:rPr>
        <w:fldChar w:fldCharType="separate"/>
      </w:r>
      <w:r>
        <w:rPr>
          <w:rFonts w:hint="eastAsia" w:ascii="仿宋" w:hAnsi="仿宋" w:eastAsia="仿宋"/>
          <w:color w:val="auto"/>
          <w:sz w:val="24"/>
          <w:szCs w:val="24"/>
          <w:highlight w:val="none"/>
        </w:rPr>
        <w:t>②</w:t>
      </w:r>
      <w:r>
        <w:rPr>
          <w:rFonts w:hint="eastAsia" w:ascii="仿宋" w:hAnsi="仿宋" w:eastAsia="仿宋"/>
          <w:color w:val="auto"/>
          <w:sz w:val="24"/>
          <w:szCs w:val="24"/>
          <w:highlight w:val="none"/>
        </w:rPr>
        <w:fldChar w:fldCharType="end"/>
      </w:r>
      <w:r>
        <w:rPr>
          <w:rFonts w:hint="eastAsia" w:ascii="仿宋" w:hAnsi="仿宋" w:eastAsia="仿宋"/>
          <w:color w:val="auto"/>
          <w:sz w:val="24"/>
          <w:szCs w:val="24"/>
          <w:highlight w:val="none"/>
        </w:rPr>
        <w:t>施工组织设计必须由：本单位专业技术人员编制；经企业技术负责人审批签字加盖企业公章；监理单位项目总监审查签字加盖注册章及企业公章。</w:t>
      </w:r>
    </w:p>
    <w:p w14:paraId="5AD54043">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2、专项施工方案：</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对下列达到一定规模的危险性较大的工程应编制专项施工方案，并附具安全验算结果。</w:t>
      </w:r>
    </w:p>
    <w:p w14:paraId="6D313BF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①基坑支护与降水工程；</w:t>
      </w:r>
    </w:p>
    <w:p w14:paraId="05FAB01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②土方开挖；</w:t>
      </w:r>
    </w:p>
    <w:p w14:paraId="04ADA6E4">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③模板工程；</w:t>
      </w:r>
    </w:p>
    <w:p w14:paraId="206722B5">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④起重吊装工程；</w:t>
      </w:r>
    </w:p>
    <w:p w14:paraId="04E64F8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 xml:space="preserve">⑤脚手架工程；       </w:t>
      </w:r>
    </w:p>
    <w:p w14:paraId="048DF009">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⑥拆除、爆破工程；</w:t>
      </w:r>
    </w:p>
    <w:p w14:paraId="463F4CA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⑦国务院建设行政主管部门或其它有关部门规定的其它危险性较大的工程。</w:t>
      </w:r>
    </w:p>
    <w:p w14:paraId="48AF5AB3">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3、组织施工：严格按照专项施工方案</w:t>
      </w:r>
    </w:p>
    <w:p w14:paraId="3C5D57B6">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①如因设计、结构、外部环境等因素发生变化需修改的，修改后的专项施工方案应当由</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技术部门组织本单位施工技术、安全、质量等部门的专业技术人员进行审核；</w:t>
      </w:r>
    </w:p>
    <w:p w14:paraId="750AADA2">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②经审核合格的，由</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技术负责人审批签字及加盖企业公章；</w:t>
      </w:r>
    </w:p>
    <w:p w14:paraId="1712DA86">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③实行施工总承包的，专项施工方案应当由总承包单位技术负责人及相关专业承包单位技术负责人审批签字及加盖企业公章。</w:t>
      </w:r>
    </w:p>
    <w:p w14:paraId="285AD6D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1）对于不需专家论证的专项施工方案，</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报送监理单位</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代建管理单位、发包人</w:t>
      </w:r>
      <w:r>
        <w:rPr>
          <w:rFonts w:hint="eastAsia" w:ascii="仿宋" w:hAnsi="仿宋" w:eastAsia="仿宋"/>
          <w:color w:val="auto"/>
          <w:sz w:val="24"/>
          <w:szCs w:val="24"/>
          <w:highlight w:val="none"/>
        </w:rPr>
        <w:t>，由项目总监审查签字加盖注册章及企业公章</w:t>
      </w:r>
      <w:r>
        <w:rPr>
          <w:rFonts w:hint="eastAsia" w:ascii="仿宋" w:hAnsi="仿宋" w:eastAsia="仿宋"/>
          <w:color w:val="auto"/>
          <w:sz w:val="24"/>
          <w:szCs w:val="24"/>
          <w:highlight w:val="none"/>
          <w:lang w:val="en-US" w:eastAsia="zh-CN"/>
        </w:rPr>
        <w:t>及代建管理单位、发包人确认</w:t>
      </w:r>
      <w:r>
        <w:rPr>
          <w:rFonts w:hint="eastAsia" w:ascii="仿宋" w:hAnsi="仿宋" w:eastAsia="仿宋"/>
          <w:color w:val="auto"/>
          <w:sz w:val="24"/>
          <w:szCs w:val="24"/>
          <w:highlight w:val="none"/>
        </w:rPr>
        <w:t>后，方可组织实施；</w:t>
      </w:r>
    </w:p>
    <w:p w14:paraId="73FD972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2）对于超过一定规模的危险性较大工程的专项施工方案，应当经专家重新论证，通过后，方可组织实施。</w:t>
      </w:r>
    </w:p>
    <w:p w14:paraId="4D5A51C5">
      <w:pPr>
        <w:spacing w:line="360" w:lineRule="auto"/>
        <w:ind w:firstLine="480" w:firstLineChars="200"/>
        <w:rPr>
          <w:rFonts w:ascii="仿宋" w:hAnsi="仿宋" w:eastAsia="仿宋"/>
          <w:color w:val="auto"/>
          <w:sz w:val="24"/>
          <w:szCs w:val="24"/>
          <w:highlight w:val="none"/>
        </w:rPr>
      </w:pPr>
      <w:bookmarkStart w:id="17" w:name="_Toc468786023"/>
      <w:r>
        <w:rPr>
          <w:rFonts w:hint="eastAsia" w:ascii="仿宋" w:hAnsi="仿宋" w:eastAsia="仿宋"/>
          <w:color w:val="auto"/>
          <w:sz w:val="24"/>
          <w:szCs w:val="24"/>
          <w:highlight w:val="none"/>
        </w:rPr>
        <w:t>（五）安全交底和验收</w:t>
      </w:r>
      <w:bookmarkEnd w:id="17"/>
    </w:p>
    <w:p w14:paraId="1B7B3C23">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1、建筑工程施工前，</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项目管理的技术人员应当对有关安全施工的技术要求向施工作业班组、作业人员做出详细说明，并由双方签字确认。</w:t>
      </w:r>
    </w:p>
    <w:p w14:paraId="4CD35DBF">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安全技术部门编制的施工组织设计，由公司安全技术部门派人向工程的项目经理、项目技术负责人、项目专职安全员、施工作业班组、作业人员进行安全技术交底；</w:t>
      </w:r>
    </w:p>
    <w:p w14:paraId="3148761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②危险性较大的分部分项工程安全专项方案实施前，编制人员或项目技术负责人应当向现场管理人员、作业人员进行安全技术交底；</w:t>
      </w:r>
    </w:p>
    <w:p w14:paraId="7DFB2C04">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1）分部分项工程施工前，项目经理、项目技术负责人、项目专职安全员应向施工作业班组、作业人员进行安全技术交底；</w:t>
      </w:r>
    </w:p>
    <w:p w14:paraId="3C551B69">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2）安全技术交底应按工程结构层次变化反复进行；要针对每层结构的实际情况，逐层进行有针对性的安全技术交底；</w:t>
      </w:r>
    </w:p>
    <w:p w14:paraId="011F7E4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3）安全技术交底必须履行交底签字手续，由交底人签字，被交底人签字认可，并准确填写交底作业部位和交底日期；该安全技术交底应一式三份，项目经理、项目专职安全员、作业班组各一份；</w:t>
      </w:r>
    </w:p>
    <w:p w14:paraId="11E1415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4）安全技术交底可以采用会议口头形式，文字图表形式，甚至示范操作形式，视工程施工复杂程度和具体交底内容而定，但须有文字记录；</w:t>
      </w:r>
    </w:p>
    <w:p w14:paraId="337492D9">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5）各专业分包单位的安全技术交底，交底程序与总承包单位交底程序一样，再报</w:t>
      </w:r>
      <w:r>
        <w:rPr>
          <w:rFonts w:hint="default" w:ascii="仿宋" w:hAnsi="仿宋" w:eastAsia="仿宋"/>
          <w:color w:val="auto"/>
          <w:sz w:val="24"/>
          <w:szCs w:val="24"/>
          <w:highlight w:val="none"/>
          <w:lang w:val="en-US"/>
        </w:rPr>
        <w:t>总包单位</w:t>
      </w:r>
      <w:r>
        <w:rPr>
          <w:rFonts w:hint="eastAsia" w:ascii="仿宋" w:hAnsi="仿宋" w:eastAsia="仿宋"/>
          <w:color w:val="auto"/>
          <w:sz w:val="24"/>
          <w:szCs w:val="24"/>
          <w:highlight w:val="none"/>
        </w:rPr>
        <w:t>备案。</w:t>
      </w:r>
    </w:p>
    <w:p w14:paraId="2682F4E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2、验收</w:t>
      </w:r>
    </w:p>
    <w:p w14:paraId="134F8CF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①对于按规定需要验收的分部分项工程，</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、监理单位应当组织有关人员进行验收；验收合格的，经</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项目相关负责人及项目专业监理工程师签字后，方可进入下一道工序；</w:t>
      </w:r>
    </w:p>
    <w:p w14:paraId="375AF28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②对于按规定需要验收的危险性较大的分部分项工程，</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、监理单位应当组织有关人员进行验收；验收合格的，经</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项目技术负责人及项目总监签字后，方可进入下一道工序；</w:t>
      </w:r>
    </w:p>
    <w:p w14:paraId="3854A18B">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③</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在使用施工起重机械和整体提升脚手架、模板自升式架设设施前，应当组织有关单位进行验收；验收合格的方可使用，验收前应当经有相应资质的检验检测结构监督检验合格；</w:t>
      </w:r>
    </w:p>
    <w:p w14:paraId="49224B1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④</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应在验收合格之日起30日内，向建设行政主管部门或者其他有关部门登记。</w:t>
      </w:r>
    </w:p>
    <w:p w14:paraId="50CFEDB8">
      <w:pPr>
        <w:spacing w:line="360" w:lineRule="auto"/>
        <w:ind w:firstLine="480" w:firstLineChars="200"/>
        <w:rPr>
          <w:rFonts w:ascii="仿宋" w:hAnsi="仿宋" w:eastAsia="仿宋"/>
          <w:color w:val="auto"/>
          <w:sz w:val="24"/>
          <w:szCs w:val="24"/>
          <w:highlight w:val="none"/>
        </w:rPr>
      </w:pPr>
      <w:bookmarkStart w:id="18" w:name="_Toc468786024"/>
      <w:r>
        <w:rPr>
          <w:rFonts w:hint="eastAsia" w:ascii="仿宋" w:hAnsi="仿宋" w:eastAsia="仿宋"/>
          <w:color w:val="auto"/>
          <w:sz w:val="24"/>
          <w:szCs w:val="24"/>
          <w:highlight w:val="none"/>
        </w:rPr>
        <w:t>（六）安全检查</w:t>
      </w:r>
      <w:bookmarkEnd w:id="18"/>
    </w:p>
    <w:p w14:paraId="2D6F9836">
      <w:pPr>
        <w:spacing w:line="360" w:lineRule="auto"/>
        <w:ind w:firstLine="480" w:firstLineChars="200"/>
        <w:rPr>
          <w:rFonts w:hint="eastAsia" w:ascii="仿宋" w:hAnsi="仿宋" w:eastAsia="仿宋"/>
          <w:color w:val="auto"/>
          <w:sz w:val="24"/>
          <w:szCs w:val="24"/>
          <w:highlight w:val="none"/>
          <w:lang w:eastAsia="zh-CN"/>
        </w:rPr>
      </w:pPr>
      <w:r>
        <w:rPr>
          <w:rFonts w:hint="eastAsia" w:ascii="仿宋" w:hAnsi="仿宋" w:eastAsia="仿宋"/>
          <w:color w:val="auto"/>
          <w:sz w:val="24"/>
          <w:szCs w:val="24"/>
          <w:highlight w:val="none"/>
        </w:rPr>
        <w:t>1、</w:t>
      </w:r>
      <w:r>
        <w:rPr>
          <w:rFonts w:hint="eastAsia" w:ascii="仿宋" w:hAnsi="仿宋" w:eastAsia="仿宋"/>
          <w:color w:val="auto"/>
          <w:sz w:val="24"/>
          <w:szCs w:val="24"/>
          <w:highlight w:val="none"/>
          <w:lang w:eastAsia="zh-CN"/>
        </w:rPr>
        <w:t>总承包人</w:t>
      </w:r>
    </w:p>
    <w:p w14:paraId="2078134F">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建立定期和专项的安全检查制度，对所承建的建设工程进行定期和专项安全检查，并做好安全检查记录。同时，对建筑安全事故隐患采取措施及时予以消除。</w:t>
      </w:r>
    </w:p>
    <w:p w14:paraId="7DD76DE5">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 xml:space="preserve">安全技术部门对每项工程的定期安全检查每月不少于一次，并应对每项工程进行节假日、恶劣气候的专项安全检查； </w:t>
      </w:r>
    </w:p>
    <w:p w14:paraId="1975535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的安全检查应按照有关的规范和标准进行，对存在的安全隐患应进行记录，定人、定时、定措施解决，</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安全技术部门应对整改情况及时跟踪落实</w:t>
      </w:r>
    </w:p>
    <w:p w14:paraId="2F5D69C9">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2、监理部</w:t>
      </w:r>
    </w:p>
    <w:p w14:paraId="2E88CE0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建立定期和专项的安全检查制度，总监应组织相关人员对本工程进行定期和专项安全检查，并做好安全检查记录。</w:t>
      </w:r>
    </w:p>
    <w:p w14:paraId="06C48638">
      <w:pPr>
        <w:spacing w:line="360" w:lineRule="auto"/>
        <w:ind w:firstLine="480" w:firstLineChars="200"/>
        <w:rPr>
          <w:rFonts w:ascii="仿宋" w:hAnsi="仿宋" w:eastAsia="仿宋"/>
          <w:color w:val="auto"/>
          <w:sz w:val="24"/>
          <w:szCs w:val="24"/>
          <w:highlight w:val="none"/>
        </w:rPr>
      </w:pPr>
      <w:r>
        <w:rPr>
          <w:rFonts w:ascii="仿宋" w:hAnsi="仿宋" w:eastAsia="仿宋"/>
          <w:color w:val="auto"/>
          <w:sz w:val="24"/>
          <w:szCs w:val="24"/>
          <w:highlight w:val="none"/>
        </w:rPr>
        <w:t>①</w:t>
      </w:r>
      <w:r>
        <w:rPr>
          <w:rFonts w:hint="eastAsia" w:ascii="仿宋" w:hAnsi="仿宋" w:eastAsia="仿宋"/>
          <w:color w:val="auto"/>
          <w:sz w:val="24"/>
          <w:szCs w:val="24"/>
          <w:highlight w:val="none"/>
        </w:rPr>
        <w:t>监理的定期安全检查应每周不少于一次，并应对每项工程进行节假日、恶劣气候的专项安全检查；</w:t>
      </w:r>
    </w:p>
    <w:p w14:paraId="10DF360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②监理的安全检查应按照有关的规范、标准及本工程的安全技术措施进行，对存在的安全隐患应进行记录，定人、定时、定措施解决，项目专职安全员应对整改情况及时跟踪落实。</w:t>
      </w:r>
    </w:p>
    <w:p w14:paraId="7DA2618B">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3、施工专职安全员</w:t>
      </w:r>
    </w:p>
    <w:p w14:paraId="1E764907">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每天对工程项目现场及生活区进行巡查，并做好安全检查记录。</w:t>
      </w:r>
    </w:p>
    <w:p w14:paraId="2DAAC317">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 xml:space="preserve">①有权制止违章作业和违章指挥，发现重大安全隐患时，有权暂停作业，撤出人员，及时向上级主管领导报告，并提出整改措施和方案； </w:t>
      </w:r>
    </w:p>
    <w:p w14:paraId="2F2FE037">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②对存在的安全隐患应及时跟踪处理，对逾期未按要求整改的隐患应及时向项目经理报告，并提出整改措施和方案。</w:t>
      </w:r>
    </w:p>
    <w:p w14:paraId="49199F39">
      <w:pPr>
        <w:spacing w:line="360" w:lineRule="auto"/>
        <w:ind w:firstLine="480" w:firstLineChars="200"/>
        <w:rPr>
          <w:rFonts w:ascii="仿宋" w:hAnsi="仿宋" w:eastAsia="仿宋"/>
          <w:color w:val="auto"/>
          <w:sz w:val="24"/>
          <w:szCs w:val="24"/>
          <w:highlight w:val="none"/>
        </w:rPr>
      </w:pPr>
      <w:bookmarkStart w:id="19" w:name="_Toc468786026"/>
      <w:r>
        <w:rPr>
          <w:rFonts w:hint="eastAsia" w:ascii="仿宋" w:hAnsi="仿宋" w:eastAsia="仿宋"/>
          <w:color w:val="auto"/>
          <w:sz w:val="24"/>
          <w:szCs w:val="24"/>
          <w:highlight w:val="none"/>
        </w:rPr>
        <w:t>（七）特种作业人员管理</w:t>
      </w:r>
      <w:bookmarkEnd w:id="19"/>
    </w:p>
    <w:p w14:paraId="06947DFB">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1、必须经省级或以上建设行政主管部门考核合格；</w:t>
      </w:r>
    </w:p>
    <w:p w14:paraId="5C6AF91E">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2、取得建筑施工特种作业人员操作资格证书，方可上岗从事相应作业。</w:t>
      </w:r>
    </w:p>
    <w:p w14:paraId="24773D1E">
      <w:pPr>
        <w:spacing w:line="360" w:lineRule="auto"/>
        <w:ind w:firstLine="480" w:firstLineChars="200"/>
        <w:rPr>
          <w:rFonts w:ascii="仿宋" w:hAnsi="仿宋" w:eastAsia="仿宋"/>
          <w:color w:val="auto"/>
          <w:sz w:val="24"/>
          <w:szCs w:val="24"/>
          <w:highlight w:val="none"/>
        </w:rPr>
      </w:pPr>
      <w:bookmarkStart w:id="20" w:name="_Toc468786029"/>
      <w:r>
        <w:rPr>
          <w:rFonts w:hint="eastAsia" w:ascii="仿宋" w:hAnsi="仿宋" w:eastAsia="仿宋"/>
          <w:color w:val="auto"/>
          <w:sz w:val="24"/>
          <w:szCs w:val="24"/>
          <w:highlight w:val="none"/>
        </w:rPr>
        <w:t>（八） 施工大门</w:t>
      </w:r>
      <w:bookmarkEnd w:id="20"/>
    </w:p>
    <w:p w14:paraId="53560496">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施工大门安装不低于以下标准（可参考《广州市建设工程绿色施工围闭指导图集》）：</w:t>
      </w:r>
    </w:p>
    <w:p w14:paraId="421C5E35">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 xml:space="preserve">1、参考构造：大门为金属方管或角钢二保焊焊接，最大宽度建议为10m，净宽为7-8m；高度建议为6-7m，其中门楣高度为1200mm，大门净高度不小于5.0m。门禁系统由集装箱或板房改制而成，支撑结构主要采用Q345钢材，屋面吊顶采用轻钢龙骨，栏杆扶手、闸机、值班室门采用不锈钢；采用自动伸缩式大门或对开式大门。 </w:t>
      </w:r>
    </w:p>
    <w:p w14:paraId="7A861C55">
      <w:pPr>
        <w:spacing w:line="360" w:lineRule="auto"/>
        <w:ind w:firstLine="420" w:firstLineChars="200"/>
        <w:rPr>
          <w:rFonts w:ascii="仿宋" w:hAnsi="仿宋" w:eastAsia="仿宋"/>
          <w:color w:val="auto"/>
          <w:sz w:val="24"/>
          <w:szCs w:val="24"/>
          <w:highlight w:val="none"/>
        </w:rPr>
      </w:pPr>
      <w:r>
        <w:rPr>
          <w:color w:val="auto"/>
          <w:highlight w:val="none"/>
        </w:rPr>
        <w:drawing>
          <wp:anchor distT="0" distB="0" distL="114300" distR="114300" simplePos="0" relativeHeight="251659264" behindDoc="0" locked="0" layoutInCell="1" allowOverlap="1">
            <wp:simplePos x="0" y="0"/>
            <wp:positionH relativeFrom="margin">
              <wp:posOffset>196215</wp:posOffset>
            </wp:positionH>
            <wp:positionV relativeFrom="paragraph">
              <wp:posOffset>652780</wp:posOffset>
            </wp:positionV>
            <wp:extent cx="4730115" cy="2006600"/>
            <wp:effectExtent l="0" t="0" r="0" b="0"/>
            <wp:wrapThrough wrapText="bothSides">
              <wp:wrapPolygon>
                <wp:start x="0" y="0"/>
                <wp:lineTo x="0" y="21327"/>
                <wp:lineTo x="21490" y="21327"/>
                <wp:lineTo x="21490" y="0"/>
                <wp:lineTo x="0" y="0"/>
              </wp:wrapPolygon>
            </wp:wrapThrough>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729857" cy="2006600"/>
                    </a:xfrm>
                    <a:prstGeom prst="rect">
                      <a:avLst/>
                    </a:prstGeom>
                  </pic:spPr>
                </pic:pic>
              </a:graphicData>
            </a:graphic>
          </wp:anchor>
        </w:drawing>
      </w:r>
      <w:r>
        <w:rPr>
          <w:rFonts w:hint="eastAsia"/>
          <w:color w:val="auto"/>
          <w:highlight w:val="none"/>
        </w:rPr>
        <w:t>2、</w:t>
      </w:r>
      <w:r>
        <w:rPr>
          <w:rFonts w:hint="eastAsia" w:ascii="仿宋" w:hAnsi="仿宋" w:eastAsia="仿宋"/>
          <w:color w:val="auto"/>
          <w:sz w:val="24"/>
          <w:szCs w:val="24"/>
          <w:highlight w:val="none"/>
        </w:rPr>
        <w:t>参考饰面：大门饰面为薄钢板、铝塑板或铁皮喷绘布，整体采用灰色色调，相关构筑物外立面喷绘颜色建议统一采用#1272浅灰色色调以及#1264深灰色。</w:t>
      </w:r>
    </w:p>
    <w:p w14:paraId="5B40F287">
      <w:pPr>
        <w:spacing w:line="360" w:lineRule="auto"/>
        <w:ind w:firstLine="480" w:firstLineChars="200"/>
        <w:rPr>
          <w:rFonts w:ascii="仿宋" w:hAnsi="仿宋" w:eastAsia="仿宋"/>
          <w:color w:val="auto"/>
          <w:sz w:val="24"/>
          <w:szCs w:val="24"/>
          <w:highlight w:val="none"/>
        </w:rPr>
      </w:pPr>
      <w:bookmarkStart w:id="21" w:name="_Toc468786030"/>
      <w:r>
        <w:rPr>
          <w:rFonts w:hint="eastAsia" w:ascii="仿宋" w:hAnsi="仿宋" w:eastAsia="仿宋"/>
          <w:color w:val="auto"/>
          <w:sz w:val="24"/>
          <w:szCs w:val="24"/>
          <w:highlight w:val="none"/>
        </w:rPr>
        <w:t>（九）施工围墙、</w:t>
      </w:r>
      <w:bookmarkEnd w:id="21"/>
      <w:r>
        <w:rPr>
          <w:rFonts w:hint="eastAsia" w:ascii="仿宋" w:hAnsi="仿宋" w:eastAsia="仿宋"/>
          <w:color w:val="auto"/>
          <w:sz w:val="24"/>
          <w:szCs w:val="24"/>
          <w:highlight w:val="none"/>
        </w:rPr>
        <w:t>门禁系统</w:t>
      </w:r>
    </w:p>
    <w:p w14:paraId="12470DF5">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1、施工现场应实行封闭管理，施工现场红线范围内现已设置装配式围蔽，如因施工需要临时拆除或变更围挡位置，应先先向</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 xml:space="preserve">工程部申报审批后才能施工，施工场地内分期、分区的应设置实体围墙或围挡。 </w:t>
      </w:r>
    </w:p>
    <w:p w14:paraId="00D9BA9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2、门禁系统管理</w:t>
      </w:r>
    </w:p>
    <w:p w14:paraId="59916CEA">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①人员通道口设置刷卡机或人脸识别系统，对每个工人采取身份证及实名登记入系统;</w:t>
      </w:r>
    </w:p>
    <w:p w14:paraId="7B631C8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②进出工地须刷卡或刷脸。门禁系统须满足人员进出流量，能识别显示进场人员工种、人数等相关信息，并联网至APP软件中；机动车通道（非机动车通道）设置道闸，控制进出车辆；</w:t>
      </w:r>
    </w:p>
    <w:p w14:paraId="1FFC6AC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③保安室设置现场出入口监控设施；</w:t>
      </w:r>
    </w:p>
    <w:p w14:paraId="1EEC194A">
      <w:pPr>
        <w:spacing w:line="360" w:lineRule="auto"/>
        <w:ind w:left="480"/>
        <w:rPr>
          <w:rFonts w:ascii="仿宋" w:hAnsi="仿宋" w:eastAsia="仿宋"/>
          <w:color w:val="auto"/>
          <w:sz w:val="24"/>
          <w:szCs w:val="24"/>
          <w:highlight w:val="none"/>
        </w:rPr>
      </w:pPr>
      <w:r>
        <w:rPr>
          <w:rFonts w:hint="eastAsia" w:ascii="仿宋" w:hAnsi="仿宋" w:eastAsia="仿宋"/>
          <w:color w:val="auto"/>
          <w:sz w:val="24"/>
          <w:szCs w:val="24"/>
          <w:highlight w:val="none"/>
        </w:rPr>
        <w:t>④对外来人员做好登记工作；对出入施工现场车辆及人员采用登记管理；</w:t>
      </w:r>
    </w:p>
    <w:p w14:paraId="5FE3ED8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⑤实名制的打卡情况也将作为进度款申报的资料附件之一。</w:t>
      </w:r>
    </w:p>
    <w:p w14:paraId="2790EC7A">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⑥工地必须按政府要求严格落实疫情防控各项措施，落实各项疫情防疫物质和检测工作，进行常态化管理，核酸检测和接种应积极相应政府的要求。</w:t>
      </w:r>
    </w:p>
    <w:p w14:paraId="7641BF5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3、围墙标志广告语：按广州市住建局有关规定或由我司提供 。</w:t>
      </w:r>
    </w:p>
    <w:p w14:paraId="50694A5C">
      <w:pPr>
        <w:spacing w:line="360" w:lineRule="auto"/>
        <w:ind w:firstLine="480" w:firstLineChars="200"/>
        <w:rPr>
          <w:rFonts w:ascii="仿宋" w:hAnsi="仿宋" w:eastAsia="仿宋"/>
          <w:color w:val="auto"/>
          <w:sz w:val="24"/>
          <w:szCs w:val="24"/>
          <w:highlight w:val="none"/>
        </w:rPr>
      </w:pPr>
      <w:bookmarkStart w:id="22" w:name="_Toc468786031"/>
      <w:r>
        <w:rPr>
          <w:rFonts w:hint="eastAsia" w:ascii="仿宋" w:hAnsi="仿宋" w:eastAsia="仿宋"/>
          <w:color w:val="auto"/>
          <w:sz w:val="24"/>
          <w:szCs w:val="24"/>
          <w:highlight w:val="none"/>
        </w:rPr>
        <w:t>（十）图牌</w:t>
      </w:r>
      <w:bookmarkEnd w:id="22"/>
    </w:p>
    <w:p w14:paraId="76834FBE">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1、七牌一图、宣传栏及黑板报</w:t>
      </w:r>
    </w:p>
    <w:p w14:paraId="5F073D73">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施工企业必须在施工现场主出入口明显处设置“七牌一图”，在主要通道处设置安全宣传栏，设置标注按广州市建设主管部门有关标准执行。</w:t>
      </w:r>
    </w:p>
    <w:p w14:paraId="4C18DA15">
      <w:pPr>
        <w:spacing w:line="360" w:lineRule="auto"/>
        <w:ind w:firstLine="480" w:firstLineChars="200"/>
        <w:rPr>
          <w:rFonts w:ascii="仿宋" w:hAnsi="仿宋" w:eastAsia="仿宋"/>
          <w:color w:val="auto"/>
          <w:sz w:val="24"/>
          <w:szCs w:val="24"/>
          <w:highlight w:val="none"/>
        </w:rPr>
      </w:pPr>
      <w:bookmarkStart w:id="23" w:name="_Toc468786032"/>
      <w:r>
        <w:rPr>
          <w:rFonts w:ascii="仿宋" w:hAnsi="仿宋" w:eastAsia="仿宋"/>
          <w:color w:val="auto"/>
          <w:sz w:val="24"/>
          <w:szCs w:val="24"/>
          <w:highlight w:val="none"/>
        </w:rPr>
        <w:t>(</w:t>
      </w:r>
      <w:r>
        <w:rPr>
          <w:rFonts w:hint="eastAsia" w:ascii="仿宋" w:hAnsi="仿宋" w:eastAsia="仿宋"/>
          <w:color w:val="auto"/>
          <w:sz w:val="24"/>
          <w:szCs w:val="24"/>
          <w:highlight w:val="none"/>
        </w:rPr>
        <w:t>十一) 道路及场地硬化</w:t>
      </w:r>
      <w:bookmarkEnd w:id="23"/>
    </w:p>
    <w:p w14:paraId="3CB66BAF">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1、道路硬化</w:t>
      </w:r>
    </w:p>
    <w:p w14:paraId="652CE4E9">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 xml:space="preserve">①施工现场临时道路应进行硬化，采用厚度不少于200mm的C20混凝土路面，道路两边要设置排水沟。 </w:t>
      </w:r>
    </w:p>
    <w:p w14:paraId="02819252">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②施工现场临时道路应尽量形成环形道路，对不能形成环形道路的，应设不少于12×12m的回车坪，回车坪的做法同道路。</w:t>
      </w:r>
    </w:p>
    <w:p w14:paraId="490C6C59">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 场地硬化</w:t>
      </w:r>
    </w:p>
    <w:p w14:paraId="438879C6">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①现场场地应进行硬化，采用厚度不少100mm的C20混凝土路面，场地大小应满足现场堆放材料；</w:t>
      </w:r>
    </w:p>
    <w:p w14:paraId="1DC4BCC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②相应场地，如加工场、材料堆放要求设置排水沟。</w:t>
      </w:r>
    </w:p>
    <w:p w14:paraId="3810395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3、洗车槽及排水系统</w:t>
      </w:r>
    </w:p>
    <w:p w14:paraId="5CED214D">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①施工现场大门处必须设置洗车槽及沉淀池，配备洗车设施，并派专人清洗，所有出场车辆均须将轮胎清洗干净，未清洗干净的车辆不得驶出大门；</w:t>
      </w:r>
    </w:p>
    <w:p w14:paraId="59B72138">
      <w:pPr>
        <w:numPr>
          <w:ilvl w:val="0"/>
          <w:numId w:val="4"/>
        </w:numPr>
        <w:spacing w:line="360" w:lineRule="auto"/>
        <w:rPr>
          <w:rFonts w:ascii="仿宋" w:hAnsi="仿宋" w:eastAsia="仿宋"/>
          <w:color w:val="auto"/>
          <w:sz w:val="24"/>
          <w:szCs w:val="24"/>
          <w:highlight w:val="none"/>
        </w:rPr>
      </w:pPr>
      <w:r>
        <w:rPr>
          <w:rFonts w:hint="eastAsia" w:ascii="仿宋" w:hAnsi="仿宋" w:eastAsia="仿宋"/>
          <w:color w:val="auto"/>
          <w:sz w:val="24"/>
          <w:szCs w:val="24"/>
          <w:highlight w:val="none"/>
        </w:rPr>
        <w:t>洗车槽底部及内测均须抹面，底部应有不小于2%的排水坡度，不得积水；</w:t>
      </w:r>
    </w:p>
    <w:p w14:paraId="7404E3B7">
      <w:pPr>
        <w:pStyle w:val="100"/>
        <w:numPr>
          <w:ilvl w:val="0"/>
          <w:numId w:val="4"/>
        </w:numPr>
        <w:spacing w:line="360" w:lineRule="auto"/>
        <w:ind w:firstLineChars="0"/>
        <w:rPr>
          <w:rFonts w:ascii="仿宋" w:hAnsi="仿宋" w:eastAsia="仿宋"/>
          <w:color w:val="auto"/>
          <w:sz w:val="24"/>
          <w:szCs w:val="24"/>
          <w:highlight w:val="none"/>
        </w:rPr>
      </w:pPr>
      <w:r>
        <w:rPr>
          <w:rFonts w:hint="eastAsia" w:ascii="仿宋" w:hAnsi="仿宋" w:eastAsia="仿宋"/>
          <w:color w:val="auto"/>
          <w:sz w:val="24"/>
          <w:szCs w:val="24"/>
          <w:highlight w:val="none"/>
        </w:rPr>
        <w:t>钢格栅应具有足够的强度承受车辆的荷载。</w:t>
      </w:r>
    </w:p>
    <w:p w14:paraId="65F72CEC">
      <w:pPr>
        <w:spacing w:line="360" w:lineRule="auto"/>
        <w:ind w:firstLine="480" w:firstLineChars="200"/>
        <w:rPr>
          <w:rFonts w:ascii="仿宋" w:hAnsi="仿宋" w:eastAsia="仿宋"/>
          <w:color w:val="auto"/>
          <w:sz w:val="24"/>
          <w:szCs w:val="24"/>
          <w:highlight w:val="none"/>
        </w:rPr>
      </w:pPr>
      <w:bookmarkStart w:id="24" w:name="_Toc468786033"/>
      <w:r>
        <w:rPr>
          <w:rFonts w:hint="eastAsia" w:ascii="仿宋" w:hAnsi="仿宋" w:eastAsia="仿宋"/>
          <w:color w:val="auto"/>
          <w:sz w:val="24"/>
          <w:szCs w:val="24"/>
          <w:highlight w:val="none"/>
        </w:rPr>
        <w:t>（十二） 材料堆放</w:t>
      </w:r>
      <w:bookmarkEnd w:id="24"/>
    </w:p>
    <w:p w14:paraId="2B623DEB">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1、材料堆放场地应进行硬化，场地四周设排水沟，不得有积水；</w:t>
      </w:r>
    </w:p>
    <w:p w14:paraId="6242B02A">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2、材料堆放高度不得超过1.6m；</w:t>
      </w:r>
      <w:r>
        <w:rPr>
          <w:rFonts w:hint="eastAsia" w:ascii="仿宋" w:hAnsi="仿宋" w:eastAsia="仿宋"/>
          <w:color w:val="auto"/>
          <w:sz w:val="24"/>
          <w:szCs w:val="24"/>
          <w:highlight w:val="none"/>
        </w:rPr>
        <w:tab/>
      </w:r>
    </w:p>
    <w:p w14:paraId="79F90866">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3、各种材料、构件堆放必须按品种、分规格堆放，并设置明显标牌；</w:t>
      </w:r>
    </w:p>
    <w:p w14:paraId="7711CFDE">
      <w:pPr>
        <w:spacing w:line="360" w:lineRule="auto"/>
        <w:ind w:firstLine="480" w:firstLineChars="200"/>
        <w:rPr>
          <w:rFonts w:ascii="仿宋" w:hAnsi="仿宋" w:eastAsia="仿宋"/>
          <w:color w:val="auto"/>
          <w:sz w:val="24"/>
          <w:szCs w:val="24"/>
          <w:highlight w:val="none"/>
        </w:rPr>
      </w:pPr>
      <w:bookmarkStart w:id="25" w:name="_Toc468786034"/>
      <w:r>
        <w:rPr>
          <w:rFonts w:hint="eastAsia" w:ascii="仿宋" w:hAnsi="仿宋" w:eastAsia="仿宋"/>
          <w:color w:val="auto"/>
          <w:sz w:val="24"/>
          <w:szCs w:val="24"/>
          <w:highlight w:val="none"/>
        </w:rPr>
        <w:t>（十三）临时设施</w:t>
      </w:r>
      <w:bookmarkEnd w:id="25"/>
    </w:p>
    <w:p w14:paraId="47B3400D">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1、办公楼、宿舍楼、食堂</w:t>
      </w:r>
    </w:p>
    <w:p w14:paraId="4709D2E2">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①办公室、宿舍楼采用活动板房，层数不得超过三层，搭设前应进行专业设计，确保结构稳固；要预留台风时期的加固措施；</w:t>
      </w:r>
    </w:p>
    <w:p w14:paraId="0C580083">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②办公室或宿舍外四周应设明沟排水；</w:t>
      </w:r>
    </w:p>
    <w:p w14:paraId="15F643B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③办公区、生活区的选址应当符合安全性的要求；办公区、生活区应与作业区分开，并保持足够的安全距离，以满足消防要求；同时，宿舍与厨房的安全距离必须满足消防的要求；</w:t>
      </w:r>
    </w:p>
    <w:p w14:paraId="23803D89">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④办公室、宿舍应通风良好、照明充足，宿舍墙上应由电工安装足够数量的插座；</w:t>
      </w:r>
    </w:p>
    <w:p w14:paraId="6840A995">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⑤办公区、生活区四周应设置围墙，适当植绿化；</w:t>
      </w:r>
    </w:p>
    <w:p w14:paraId="5D31C434">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⑥</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不得在尚未竣工的建筑物内设置员工集体宿舍。</w:t>
      </w:r>
    </w:p>
    <w:p w14:paraId="58AB282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2、厕所</w:t>
      </w:r>
    </w:p>
    <w:p w14:paraId="0BA9BA6F">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①办公区、生活区应设置男女厕所，厕所距离食堂20m以上。厕所分为大便槽式和大便器式，蹲位数量与施工现场人员比例约为1：25；男厕所内设置小便池或小便器；厕所应设置高压冲水箱；</w:t>
      </w:r>
    </w:p>
    <w:p w14:paraId="0CF917F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②工地：工地应设置移动式厕所，每栋除首层设置移动厕所外，上面至少每5层设置一个移动厕所，并派人定期清理。</w:t>
      </w:r>
    </w:p>
    <w:p w14:paraId="4543F72D">
      <w:pPr>
        <w:spacing w:line="360" w:lineRule="auto"/>
        <w:ind w:firstLine="480" w:firstLineChars="200"/>
        <w:rPr>
          <w:rFonts w:ascii="仿宋" w:hAnsi="仿宋" w:eastAsia="仿宋"/>
          <w:color w:val="auto"/>
          <w:sz w:val="24"/>
          <w:szCs w:val="24"/>
          <w:highlight w:val="none"/>
        </w:rPr>
      </w:pPr>
      <w:bookmarkStart w:id="26" w:name="_Toc468786035"/>
      <w:r>
        <w:rPr>
          <w:rFonts w:hint="eastAsia" w:ascii="仿宋" w:hAnsi="仿宋" w:eastAsia="仿宋"/>
          <w:color w:val="auto"/>
          <w:sz w:val="24"/>
          <w:szCs w:val="24"/>
          <w:highlight w:val="none"/>
        </w:rPr>
        <w:t>（十四）个人安全防护用品</w:t>
      </w:r>
      <w:bookmarkEnd w:id="26"/>
    </w:p>
    <w:p w14:paraId="0FE315C7">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1、进入施工现场的人员必须正确佩戴安全帽、安全带等防护用品。</w:t>
      </w:r>
    </w:p>
    <w:p w14:paraId="1D5E117D">
      <w:pPr>
        <w:spacing w:line="360" w:lineRule="auto"/>
        <w:ind w:firstLine="480" w:firstLineChars="200"/>
        <w:rPr>
          <w:rFonts w:ascii="仿宋" w:hAnsi="仿宋" w:eastAsia="仿宋"/>
          <w:color w:val="auto"/>
          <w:sz w:val="24"/>
          <w:szCs w:val="24"/>
          <w:highlight w:val="none"/>
        </w:rPr>
      </w:pPr>
      <w:bookmarkStart w:id="27" w:name="_Toc468786036"/>
      <w:r>
        <w:rPr>
          <w:rFonts w:hint="eastAsia" w:ascii="仿宋" w:hAnsi="仿宋" w:eastAsia="仿宋"/>
          <w:color w:val="auto"/>
          <w:sz w:val="24"/>
          <w:szCs w:val="24"/>
          <w:highlight w:val="none"/>
        </w:rPr>
        <w:t>（十五） 安全标识</w:t>
      </w:r>
      <w:bookmarkEnd w:id="27"/>
    </w:p>
    <w:p w14:paraId="16BDB6E5">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 需要设置明显的安全警示标志的危险部位：</w:t>
      </w:r>
    </w:p>
    <w:p w14:paraId="411B6C9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①施工现场的建筑起重机械；②临时用电设施；③脚手架；④出入通道口；⑤楼梯口；⑥孔洞口；⑦基坑边沿；⑧有毒危险气体和液体存放处。</w:t>
      </w:r>
    </w:p>
    <w:p w14:paraId="5A1CB5A5">
      <w:pPr>
        <w:spacing w:line="360" w:lineRule="auto"/>
        <w:ind w:firstLine="480" w:firstLineChars="200"/>
        <w:rPr>
          <w:rFonts w:ascii="仿宋" w:hAnsi="仿宋" w:eastAsia="仿宋"/>
          <w:color w:val="auto"/>
          <w:sz w:val="24"/>
          <w:szCs w:val="24"/>
          <w:highlight w:val="none"/>
        </w:rPr>
      </w:pPr>
      <w:bookmarkStart w:id="28" w:name="_Toc468786037"/>
      <w:r>
        <w:rPr>
          <w:rFonts w:hint="eastAsia" w:ascii="仿宋" w:hAnsi="仿宋" w:eastAsia="仿宋"/>
          <w:color w:val="auto"/>
          <w:sz w:val="24"/>
          <w:szCs w:val="24"/>
          <w:highlight w:val="none"/>
        </w:rPr>
        <w:t>（十六）消防设施</w:t>
      </w:r>
      <w:bookmarkEnd w:id="28"/>
      <w:r>
        <w:rPr>
          <w:rFonts w:hint="eastAsia" w:ascii="仿宋" w:hAnsi="仿宋" w:eastAsia="仿宋"/>
          <w:color w:val="auto"/>
          <w:sz w:val="24"/>
          <w:szCs w:val="24"/>
          <w:highlight w:val="none"/>
        </w:rPr>
        <w:t>及制度</w:t>
      </w:r>
    </w:p>
    <w:p w14:paraId="14953FF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1、施工现场、办公区、生活区应按规定设置消防设置，包括消防水泵，消防栓、灭火器等相关消防设施，并满足相关规范要求。</w:t>
      </w:r>
    </w:p>
    <w:p w14:paraId="2D5AF4C9">
      <w:pPr>
        <w:spacing w:line="360" w:lineRule="auto"/>
        <w:ind w:firstLine="480" w:firstLineChars="200"/>
        <w:rPr>
          <w:rFonts w:eastAsia="仿宋"/>
          <w:color w:val="auto"/>
          <w:highlight w:val="none"/>
        </w:rPr>
      </w:pPr>
      <w:r>
        <w:rPr>
          <w:rFonts w:hint="eastAsia" w:ascii="仿宋" w:hAnsi="仿宋" w:eastAsia="仿宋"/>
          <w:color w:val="auto"/>
          <w:sz w:val="24"/>
          <w:szCs w:val="24"/>
          <w:highlight w:val="none"/>
        </w:rPr>
        <w:t>2、施工现场作业区、仓储区、材料堆放区等危险性较大的地方应禁止吸烟以防止发生危险，可在适当位置设置固定的吸烟区（室），吸烟区（室）应远离危险区，并设必要的灭火器材。</w:t>
      </w:r>
    </w:p>
    <w:p w14:paraId="4DCC1FE3">
      <w:pPr>
        <w:spacing w:line="360" w:lineRule="auto"/>
        <w:jc w:val="left"/>
        <w:outlineLvl w:val="1"/>
        <w:rPr>
          <w:rFonts w:ascii="仿宋" w:hAnsi="仿宋" w:eastAsia="仿宋"/>
          <w:b/>
          <w:bCs/>
          <w:color w:val="auto"/>
          <w:kern w:val="0"/>
          <w:sz w:val="24"/>
          <w:szCs w:val="24"/>
          <w:highlight w:val="none"/>
        </w:rPr>
      </w:pPr>
      <w:bookmarkStart w:id="29" w:name="_Toc26259"/>
      <w:r>
        <w:rPr>
          <w:rFonts w:hint="eastAsia" w:ascii="仿宋" w:hAnsi="仿宋" w:eastAsia="仿宋"/>
          <w:b/>
          <w:bCs/>
          <w:color w:val="auto"/>
          <w:kern w:val="0"/>
          <w:sz w:val="24"/>
          <w:szCs w:val="24"/>
          <w:highlight w:val="none"/>
        </w:rPr>
        <w:t xml:space="preserve">第五条 </w:t>
      </w:r>
      <w:bookmarkStart w:id="30" w:name="_Toc786"/>
      <w:r>
        <w:rPr>
          <w:rFonts w:hint="eastAsia" w:ascii="仿宋" w:hAnsi="仿宋" w:eastAsia="仿宋"/>
          <w:b/>
          <w:bCs/>
          <w:color w:val="auto"/>
          <w:kern w:val="0"/>
          <w:sz w:val="24"/>
          <w:szCs w:val="24"/>
          <w:highlight w:val="none"/>
        </w:rPr>
        <w:t>成品保护管理</w:t>
      </w:r>
      <w:bookmarkEnd w:id="29"/>
      <w:bookmarkEnd w:id="30"/>
    </w:p>
    <w:p w14:paraId="3A6F3FF3">
      <w:pPr>
        <w:pStyle w:val="108"/>
        <w:spacing w:line="360" w:lineRule="auto"/>
        <w:ind w:firstLine="480" w:firstLineChars="200"/>
        <w:rPr>
          <w:rFonts w:ascii="仿宋" w:hAnsi="仿宋" w:eastAsia="仿宋" w:cs="仿宋"/>
          <w:color w:val="auto"/>
          <w:highlight w:val="none"/>
        </w:rPr>
      </w:pPr>
      <w:r>
        <w:rPr>
          <w:rFonts w:hint="eastAsia" w:ascii="仿宋" w:hAnsi="仿宋" w:eastAsia="仿宋" w:cs="仿宋"/>
          <w:color w:val="auto"/>
          <w:highlight w:val="none"/>
        </w:rPr>
        <w:t>承包单位完成自身合同范围的工作后，应第一时间对自身的成品进行保护，并移交给下道工序的</w:t>
      </w:r>
      <w:r>
        <w:rPr>
          <w:rFonts w:hint="eastAsia" w:ascii="仿宋" w:hAnsi="仿宋" w:eastAsia="仿宋" w:cs="仿宋"/>
          <w:color w:val="auto"/>
          <w:highlight w:val="none"/>
          <w:lang w:eastAsia="zh-CN"/>
        </w:rPr>
        <w:t>总承包人</w:t>
      </w:r>
      <w:r>
        <w:rPr>
          <w:rFonts w:hint="eastAsia" w:ascii="仿宋" w:hAnsi="仿宋" w:eastAsia="仿宋" w:cs="仿宋"/>
          <w:color w:val="auto"/>
          <w:highlight w:val="none"/>
        </w:rPr>
        <w:t>，应进组织工作面移交手续。移交前如果发生成品或成品保护被破坏，承包单位没有找到对应责任主体，则由专业分包单位负责整改，并承担整改费用，遵循谁施工谁保护。</w:t>
      </w:r>
    </w:p>
    <w:p w14:paraId="4CF9E65D">
      <w:pPr>
        <w:spacing w:line="360" w:lineRule="auto"/>
        <w:ind w:firstLine="480" w:firstLineChars="200"/>
        <w:rPr>
          <w:rFonts w:ascii="仿宋" w:hAnsi="仿宋" w:eastAsia="仿宋" w:cs="仿宋"/>
          <w:color w:val="auto"/>
          <w:sz w:val="24"/>
          <w:szCs w:val="24"/>
          <w:highlight w:val="none"/>
        </w:rPr>
      </w:pPr>
      <w:bookmarkStart w:id="31" w:name="_Toc425780570"/>
      <w:bookmarkStart w:id="32" w:name="_Toc435620183"/>
      <w:r>
        <w:rPr>
          <w:rFonts w:hint="eastAsia" w:ascii="仿宋" w:hAnsi="仿宋" w:eastAsia="仿宋" w:cs="仿宋"/>
          <w:color w:val="auto"/>
          <w:sz w:val="24"/>
          <w:szCs w:val="24"/>
          <w:highlight w:val="none"/>
        </w:rPr>
        <w:t>1、成品保护应遵循合理流程的原则。</w:t>
      </w:r>
    </w:p>
    <w:p w14:paraId="32CFFBF8">
      <w:pPr>
        <w:pStyle w:val="108"/>
        <w:spacing w:line="360" w:lineRule="auto"/>
        <w:ind w:firstLine="480" w:firstLineChars="200"/>
        <w:rPr>
          <w:rFonts w:ascii="仿宋" w:hAnsi="仿宋" w:eastAsia="仿宋" w:cs="仿宋"/>
          <w:color w:val="auto"/>
          <w:highlight w:val="none"/>
        </w:rPr>
      </w:pPr>
      <w:r>
        <w:rPr>
          <w:rFonts w:hint="eastAsia" w:ascii="仿宋" w:hAnsi="仿宋" w:eastAsia="仿宋" w:cs="仿宋"/>
          <w:color w:val="auto"/>
          <w:highlight w:val="none"/>
        </w:rPr>
        <w:t>合理规划工序，比如，产品保护难度较大的材料如进户门、地板等安排在大部分装饰工作量完成后进行安装。在前期公共区域装修施工期间，为配合墙地面施工，可仅安装门套，并做好成品保护措施，不允许安装入户门扇，门扇具体安装时间需得到</w:t>
      </w:r>
      <w:r>
        <w:rPr>
          <w:rFonts w:hint="eastAsia" w:ascii="仿宋" w:hAnsi="仿宋" w:eastAsia="仿宋" w:cs="仿宋"/>
          <w:color w:val="auto"/>
          <w:highlight w:val="none"/>
          <w:lang w:val="en-US" w:eastAsia="zh-CN"/>
        </w:rPr>
        <w:t>发包人、代建管理单位</w:t>
      </w:r>
      <w:r>
        <w:rPr>
          <w:rFonts w:hint="eastAsia" w:ascii="仿宋" w:hAnsi="仿宋" w:eastAsia="仿宋" w:cs="仿宋"/>
          <w:color w:val="auto"/>
          <w:highlight w:val="none"/>
        </w:rPr>
        <w:t>批准。具备锁门条件为计划关键节点，灯具、开关/插座、热水器、燃气灶、龙头五金件须在具备锁门条件后安装，安装时间需得到</w:t>
      </w:r>
      <w:r>
        <w:rPr>
          <w:rFonts w:hint="eastAsia" w:ascii="仿宋" w:hAnsi="仿宋" w:eastAsia="仿宋" w:cs="仿宋"/>
          <w:color w:val="auto"/>
          <w:highlight w:val="none"/>
          <w:lang w:val="en-US" w:eastAsia="zh-CN"/>
        </w:rPr>
        <w:t>发包人、代建管理单位</w:t>
      </w:r>
      <w:r>
        <w:rPr>
          <w:rFonts w:hint="eastAsia" w:ascii="仿宋" w:hAnsi="仿宋" w:eastAsia="仿宋" w:cs="仿宋"/>
          <w:color w:val="auto"/>
          <w:highlight w:val="none"/>
        </w:rPr>
        <w:t>批准。</w:t>
      </w:r>
    </w:p>
    <w:p w14:paraId="1405A293">
      <w:pPr>
        <w:numPr>
          <w:ilvl w:val="0"/>
          <w:numId w:val="5"/>
        </w:numPr>
        <w:spacing w:line="360" w:lineRule="auto"/>
        <w:ind w:firstLine="480" w:firstLineChars="200"/>
        <w:rPr>
          <w:rFonts w:ascii="仿宋" w:hAnsi="仿宋" w:eastAsia="仿宋" w:cs="仿宋"/>
          <w:color w:val="auto"/>
          <w:sz w:val="24"/>
          <w:szCs w:val="24"/>
          <w:highlight w:val="none"/>
        </w:rPr>
      </w:pPr>
      <w:r>
        <w:rPr>
          <w:rFonts w:hint="eastAsia" w:ascii="仿宋" w:hAnsi="仿宋" w:eastAsia="仿宋" w:cs="仿宋"/>
          <w:color w:val="auto"/>
          <w:sz w:val="24"/>
          <w:szCs w:val="24"/>
          <w:highlight w:val="none"/>
        </w:rPr>
        <w:t>成品保护应遵循谁施工谁保护的原则。</w:t>
      </w:r>
    </w:p>
    <w:p w14:paraId="25C22132">
      <w:pPr>
        <w:pStyle w:val="108"/>
        <w:spacing w:line="360" w:lineRule="auto"/>
        <w:ind w:firstLine="480" w:firstLineChars="200"/>
        <w:rPr>
          <w:rFonts w:ascii="仿宋" w:hAnsi="仿宋" w:eastAsia="仿宋" w:cs="仿宋"/>
          <w:color w:val="auto"/>
          <w:highlight w:val="none"/>
        </w:rPr>
      </w:pPr>
      <w:r>
        <w:rPr>
          <w:rFonts w:hint="eastAsia" w:ascii="仿宋" w:hAnsi="仿宋" w:eastAsia="仿宋" w:cs="仿宋"/>
          <w:color w:val="auto"/>
          <w:highlight w:val="none"/>
        </w:rPr>
        <w:t>承包单位完成自身合同范围的工作后，应第一时间对自身的成品进行保护，并移交给下道工序的</w:t>
      </w:r>
      <w:r>
        <w:rPr>
          <w:rFonts w:hint="eastAsia" w:ascii="仿宋" w:hAnsi="仿宋" w:eastAsia="仿宋" w:cs="仿宋"/>
          <w:color w:val="auto"/>
          <w:highlight w:val="none"/>
          <w:lang w:eastAsia="zh-CN"/>
        </w:rPr>
        <w:t>总承包人</w:t>
      </w:r>
      <w:r>
        <w:rPr>
          <w:rFonts w:hint="eastAsia" w:ascii="仿宋" w:hAnsi="仿宋" w:eastAsia="仿宋" w:cs="仿宋"/>
          <w:color w:val="auto"/>
          <w:highlight w:val="none"/>
        </w:rPr>
        <w:t>，应进组织工作面移交手续。移交前如果发生成品或成品保护被破坏，承包单位没有找到对应责任主体，则由专业分包单位负责整改，并承担整改费用，遵循谁施工谁保护。</w:t>
      </w:r>
    </w:p>
    <w:p w14:paraId="7B541C7B">
      <w:pPr>
        <w:pStyle w:val="108"/>
        <w:numPr>
          <w:ilvl w:val="0"/>
          <w:numId w:val="5"/>
        </w:numPr>
        <w:spacing w:line="360" w:lineRule="auto"/>
        <w:ind w:firstLine="480" w:firstLineChars="200"/>
        <w:rPr>
          <w:rFonts w:ascii="仿宋" w:hAnsi="仿宋" w:eastAsia="仿宋" w:cs="仿宋"/>
          <w:color w:val="auto"/>
          <w:highlight w:val="none"/>
        </w:rPr>
      </w:pPr>
      <w:r>
        <w:rPr>
          <w:rFonts w:hint="eastAsia" w:ascii="仿宋" w:hAnsi="仿宋" w:eastAsia="仿宋" w:cs="仿宋"/>
          <w:color w:val="auto"/>
          <w:highlight w:val="none"/>
        </w:rPr>
        <w:t>成品保护应遵循先检查后保护的原则。</w:t>
      </w:r>
    </w:p>
    <w:p w14:paraId="62C175D4">
      <w:pPr>
        <w:pStyle w:val="108"/>
        <w:spacing w:line="360" w:lineRule="auto"/>
        <w:ind w:firstLine="480" w:firstLineChars="200"/>
        <w:rPr>
          <w:rFonts w:ascii="仿宋" w:hAnsi="仿宋" w:eastAsia="仿宋" w:cs="仿宋"/>
          <w:color w:val="auto"/>
          <w:highlight w:val="none"/>
        </w:rPr>
      </w:pPr>
      <w:r>
        <w:rPr>
          <w:rFonts w:hint="eastAsia" w:ascii="仿宋" w:hAnsi="仿宋" w:eastAsia="仿宋" w:cs="仿宋"/>
          <w:color w:val="auto"/>
          <w:highlight w:val="none"/>
        </w:rPr>
        <w:t>所有工序必须</w:t>
      </w:r>
      <w:r>
        <w:rPr>
          <w:rFonts w:hint="eastAsia" w:ascii="仿宋" w:hAnsi="仿宋" w:eastAsia="仿宋" w:cs="仿宋"/>
          <w:color w:val="auto"/>
          <w:highlight w:val="none"/>
          <w:lang w:eastAsia="zh-CN"/>
        </w:rPr>
        <w:t>总承包人</w:t>
      </w:r>
      <w:r>
        <w:rPr>
          <w:rFonts w:hint="eastAsia" w:ascii="仿宋" w:hAnsi="仿宋" w:eastAsia="仿宋" w:cs="仿宋"/>
          <w:color w:val="auto"/>
          <w:highlight w:val="none"/>
        </w:rPr>
        <w:t>自检、项目监理工程师验收、</w:t>
      </w:r>
      <w:r>
        <w:rPr>
          <w:rFonts w:hint="eastAsia" w:ascii="仿宋" w:hAnsi="仿宋" w:eastAsia="仿宋" w:cs="仿宋"/>
          <w:color w:val="auto"/>
          <w:highlight w:val="none"/>
          <w:lang w:val="en-US" w:eastAsia="zh-CN"/>
        </w:rPr>
        <w:t>发包人、代建管理单位</w:t>
      </w:r>
      <w:r>
        <w:rPr>
          <w:rFonts w:hint="eastAsia" w:ascii="仿宋" w:hAnsi="仿宋" w:eastAsia="仿宋" w:cs="仿宋"/>
          <w:color w:val="auto"/>
          <w:highlight w:val="none"/>
        </w:rPr>
        <w:t>抽检合格，并做好产品清洁后方可进行保护。</w:t>
      </w:r>
    </w:p>
    <w:p w14:paraId="233009E4">
      <w:pPr>
        <w:numPr>
          <w:ilvl w:val="0"/>
          <w:numId w:val="5"/>
        </w:numPr>
        <w:spacing w:line="360" w:lineRule="auto"/>
        <w:ind w:firstLine="480" w:firstLineChars="200"/>
        <w:rPr>
          <w:rFonts w:ascii="仿宋" w:hAnsi="仿宋" w:eastAsia="仿宋" w:cs="仿宋"/>
          <w:color w:val="auto"/>
          <w:sz w:val="24"/>
          <w:szCs w:val="24"/>
          <w:highlight w:val="none"/>
        </w:rPr>
      </w:pPr>
      <w:r>
        <w:rPr>
          <w:rFonts w:hint="eastAsia" w:ascii="仿宋" w:hAnsi="仿宋" w:eastAsia="仿宋" w:cs="仿宋"/>
          <w:color w:val="auto"/>
          <w:sz w:val="24"/>
          <w:szCs w:val="24"/>
          <w:highlight w:val="none"/>
        </w:rPr>
        <w:t>成品保护应遵循持续保护原则。</w:t>
      </w:r>
    </w:p>
    <w:p w14:paraId="49E9B535">
      <w:pPr>
        <w:spacing w:line="360" w:lineRule="auto"/>
        <w:ind w:firstLine="480" w:firstLineChars="200"/>
        <w:rPr>
          <w:rFonts w:ascii="仿宋" w:hAnsi="仿宋" w:eastAsia="仿宋" w:cs="仿宋"/>
          <w:color w:val="auto"/>
          <w:sz w:val="24"/>
          <w:szCs w:val="24"/>
          <w:highlight w:val="none"/>
        </w:rPr>
      </w:pPr>
      <w:r>
        <w:rPr>
          <w:rFonts w:hint="eastAsia" w:ascii="仿宋" w:hAnsi="仿宋" w:eastAsia="仿宋" w:cs="仿宋"/>
          <w:color w:val="auto"/>
          <w:sz w:val="24"/>
          <w:szCs w:val="24"/>
          <w:highlight w:val="none"/>
        </w:rPr>
        <w:t>施工中及物业细部检查阶段，</w:t>
      </w:r>
      <w:r>
        <w:rPr>
          <w:rFonts w:hint="eastAsia" w:ascii="仿宋" w:hAnsi="仿宋" w:eastAsia="仿宋" w:cs="仿宋"/>
          <w:color w:val="auto"/>
          <w:sz w:val="24"/>
          <w:szCs w:val="24"/>
          <w:highlight w:val="none"/>
          <w:lang w:eastAsia="zh-CN"/>
        </w:rPr>
        <w:t>总承包人</w:t>
      </w:r>
      <w:r>
        <w:rPr>
          <w:rFonts w:hint="eastAsia" w:ascii="仿宋" w:hAnsi="仿宋" w:eastAsia="仿宋" w:cs="仿宋"/>
          <w:color w:val="auto"/>
          <w:sz w:val="24"/>
          <w:szCs w:val="24"/>
          <w:highlight w:val="none"/>
        </w:rPr>
        <w:t xml:space="preserve">有责任做好产品保护的后续检查和维护工作，对于成品保护措施被损坏、拆除的，必须在恢复保护措施后方可进行施工。 </w:t>
      </w:r>
    </w:p>
    <w:p w14:paraId="20C99483">
      <w:pPr>
        <w:pStyle w:val="108"/>
        <w:numPr>
          <w:ilvl w:val="0"/>
          <w:numId w:val="5"/>
        </w:numPr>
        <w:spacing w:line="360" w:lineRule="auto"/>
        <w:ind w:firstLine="480" w:firstLineChars="200"/>
        <w:rPr>
          <w:rFonts w:ascii="仿宋" w:hAnsi="仿宋" w:eastAsia="仿宋" w:cs="仿宋"/>
          <w:color w:val="auto"/>
          <w:highlight w:val="none"/>
        </w:rPr>
      </w:pPr>
      <w:r>
        <w:rPr>
          <w:rFonts w:hint="eastAsia" w:ascii="仿宋" w:hAnsi="仿宋" w:eastAsia="仿宋" w:cs="仿宋"/>
          <w:color w:val="auto"/>
          <w:highlight w:val="none"/>
        </w:rPr>
        <w:t>甲供料、甲分包成品保护原则。</w:t>
      </w:r>
    </w:p>
    <w:p w14:paraId="1510F806">
      <w:pPr>
        <w:pStyle w:val="108"/>
        <w:spacing w:line="360" w:lineRule="auto"/>
        <w:ind w:firstLine="480" w:firstLineChars="200"/>
        <w:rPr>
          <w:rFonts w:ascii="仿宋" w:hAnsi="仿宋" w:eastAsia="仿宋" w:cs="仿宋"/>
          <w:color w:val="auto"/>
          <w:highlight w:val="none"/>
        </w:rPr>
      </w:pPr>
      <w:r>
        <w:rPr>
          <w:rFonts w:hint="eastAsia" w:ascii="仿宋" w:hAnsi="仿宋" w:eastAsia="仿宋" w:cs="仿宋"/>
          <w:color w:val="auto"/>
          <w:highlight w:val="none"/>
        </w:rPr>
        <w:t>所有甲供物资材料，交接前的保护工作由物资供应单位负责；交接给</w:t>
      </w:r>
      <w:r>
        <w:rPr>
          <w:rFonts w:hint="eastAsia" w:ascii="仿宋" w:hAnsi="仿宋" w:eastAsia="仿宋" w:cs="仿宋"/>
          <w:color w:val="auto"/>
          <w:highlight w:val="none"/>
          <w:lang w:eastAsia="zh-CN"/>
        </w:rPr>
        <w:t>总承包人</w:t>
      </w:r>
      <w:r>
        <w:rPr>
          <w:rFonts w:hint="eastAsia" w:ascii="仿宋" w:hAnsi="仿宋" w:eastAsia="仿宋" w:cs="仿宋"/>
          <w:color w:val="auto"/>
          <w:highlight w:val="none"/>
        </w:rPr>
        <w:t>之后，物资材料的现场堆放、保护等由接收单位负责；所有甲供物资的交接必须办理严格的交接验收手续。</w:t>
      </w:r>
    </w:p>
    <w:p w14:paraId="1D1B7C5E">
      <w:pPr>
        <w:pStyle w:val="108"/>
        <w:spacing w:line="360" w:lineRule="auto"/>
        <w:ind w:firstLine="480" w:firstLineChars="200"/>
        <w:rPr>
          <w:rFonts w:ascii="仿宋" w:hAnsi="仿宋" w:eastAsia="仿宋" w:cs="仿宋"/>
          <w:color w:val="auto"/>
          <w:highlight w:val="none"/>
        </w:rPr>
      </w:pPr>
      <w:r>
        <w:rPr>
          <w:rFonts w:hint="eastAsia" w:ascii="仿宋" w:hAnsi="仿宋" w:eastAsia="仿宋" w:cs="仿宋"/>
          <w:color w:val="auto"/>
          <w:highlight w:val="none"/>
        </w:rPr>
        <w:t>乙供物资材料由承包单位自行负责保护工作。</w:t>
      </w:r>
    </w:p>
    <w:bookmarkEnd w:id="31"/>
    <w:bookmarkEnd w:id="32"/>
    <w:p w14:paraId="071C5756">
      <w:pPr>
        <w:pStyle w:val="108"/>
        <w:numPr>
          <w:ilvl w:val="0"/>
          <w:numId w:val="5"/>
        </w:numPr>
        <w:spacing w:line="360" w:lineRule="auto"/>
        <w:ind w:firstLine="480" w:firstLineChars="200"/>
        <w:rPr>
          <w:rFonts w:ascii="仿宋" w:hAnsi="仿宋" w:eastAsia="仿宋" w:cs="仿宋"/>
          <w:color w:val="auto"/>
          <w:highlight w:val="none"/>
        </w:rPr>
      </w:pPr>
      <w:r>
        <w:rPr>
          <w:rFonts w:hint="eastAsia" w:ascii="仿宋" w:hAnsi="仿宋" w:eastAsia="仿宋" w:cs="仿宋"/>
          <w:color w:val="auto"/>
          <w:highlight w:val="none"/>
        </w:rPr>
        <w:t>具体保护做法，可参考建设单位《成品保护技术标准》</w:t>
      </w:r>
    </w:p>
    <w:p w14:paraId="05B18CB9">
      <w:pPr>
        <w:spacing w:line="360" w:lineRule="auto"/>
        <w:jc w:val="left"/>
        <w:outlineLvl w:val="1"/>
        <w:rPr>
          <w:rFonts w:ascii="仿宋" w:hAnsi="仿宋" w:eastAsia="仿宋"/>
          <w:b/>
          <w:bCs/>
          <w:color w:val="auto"/>
          <w:kern w:val="0"/>
          <w:sz w:val="24"/>
          <w:szCs w:val="24"/>
          <w:highlight w:val="none"/>
        </w:rPr>
      </w:pPr>
      <w:bookmarkStart w:id="33" w:name="_Toc4695"/>
      <w:r>
        <w:rPr>
          <w:rFonts w:hint="eastAsia" w:ascii="仿宋" w:hAnsi="仿宋" w:eastAsia="仿宋"/>
          <w:b/>
          <w:bCs/>
          <w:color w:val="auto"/>
          <w:kern w:val="0"/>
          <w:sz w:val="24"/>
          <w:szCs w:val="24"/>
          <w:highlight w:val="none"/>
        </w:rPr>
        <w:t>第六条</w:t>
      </w:r>
      <w:r>
        <w:rPr>
          <w:rFonts w:ascii="仿宋" w:hAnsi="仿宋" w:eastAsia="仿宋"/>
          <w:b/>
          <w:bCs/>
          <w:color w:val="auto"/>
          <w:kern w:val="0"/>
          <w:sz w:val="24"/>
          <w:szCs w:val="24"/>
          <w:highlight w:val="none"/>
        </w:rPr>
        <w:t xml:space="preserve">  </w:t>
      </w:r>
      <w:r>
        <w:rPr>
          <w:rFonts w:hint="eastAsia" w:ascii="仿宋" w:hAnsi="仿宋" w:eastAsia="仿宋"/>
          <w:b/>
          <w:bCs/>
          <w:color w:val="auto"/>
          <w:kern w:val="0"/>
          <w:sz w:val="24"/>
          <w:szCs w:val="24"/>
          <w:highlight w:val="none"/>
        </w:rPr>
        <w:t>现场其它施工要求</w:t>
      </w:r>
      <w:bookmarkEnd w:id="33"/>
    </w:p>
    <w:p w14:paraId="0D147A45">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1、必要的市政人行铺贴等部位要做好保护，施工期间破坏的应按原市政标准进行恢复；</w:t>
      </w:r>
    </w:p>
    <w:p w14:paraId="7696006D">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2、做好施工过程中防尘处理（包含但不限于裸土绿网覆盖、施工便道的洒水车冲洗，防尘措施等）；</w:t>
      </w:r>
    </w:p>
    <w:p w14:paraId="6C98E01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3、负责施工阶段的排水和降水工作，泥水不可随意排放到市政路或周边水系；</w:t>
      </w:r>
    </w:p>
    <w:p w14:paraId="60765EB3">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4、进场开始施工后，现场的安保工作由贵司负责，并开始负责水、电费缴纳；</w:t>
      </w:r>
    </w:p>
    <w:p w14:paraId="15D1A77A">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5、现场施工要严格做到 “六个100%”；必须按</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或政府要求安装进出口大门和门禁系统，门禁系统采用人脸识别系统，需显示进出场各工种人数和现场施工总人数等基本信息；</w:t>
      </w:r>
    </w:p>
    <w:p w14:paraId="6BF78B5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6、楼层上每5层设置一间临时卫生间，首层必须设置至少2间；</w:t>
      </w:r>
    </w:p>
    <w:p w14:paraId="16D1801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7、施工期间，</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应及时整理和安排好所有的施工机械、工器具、材料、建筑垃圾等，做到每日工完场清，未使用完的材料按发包人规定或重新入库或就地堆放整齐。</w:t>
      </w:r>
    </w:p>
    <w:p w14:paraId="589E9F7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lang w:val="en-US" w:eastAsia="zh-CN"/>
        </w:rPr>
        <w:t>8</w:t>
      </w:r>
      <w:r>
        <w:rPr>
          <w:rFonts w:hint="eastAsia" w:ascii="仿宋" w:hAnsi="仿宋" w:eastAsia="仿宋"/>
          <w:color w:val="auto"/>
          <w:sz w:val="24"/>
          <w:szCs w:val="24"/>
          <w:highlight w:val="none"/>
        </w:rPr>
        <w:t>、为了考虑裙楼外架能提前拆除进行园林绿化的穿插，部分位置需要在第3层考虑悬挑，具体位置需根据图纸进行判定，为日后园林施工提供穿插条件。</w:t>
      </w:r>
    </w:p>
    <w:p w14:paraId="24A212C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lang w:val="en-US" w:eastAsia="zh-CN"/>
        </w:rPr>
        <w:t>9</w:t>
      </w:r>
      <w:r>
        <w:rPr>
          <w:rFonts w:hint="eastAsia" w:ascii="仿宋" w:hAnsi="仿宋" w:eastAsia="仿宋"/>
          <w:color w:val="auto"/>
          <w:sz w:val="24"/>
          <w:szCs w:val="24"/>
          <w:highlight w:val="none"/>
        </w:rPr>
        <w:t>、承包单位在土方施工期间，涉及的环保、城管、安监等沟通协调的对外关系，承包单位负责落实，</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协助；</w:t>
      </w:r>
    </w:p>
    <w:p w14:paraId="2CBFD648">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w:t>
      </w:r>
      <w:r>
        <w:rPr>
          <w:rFonts w:hint="eastAsia" w:ascii="仿宋" w:hAnsi="仿宋" w:eastAsia="仿宋"/>
          <w:color w:val="auto"/>
          <w:sz w:val="24"/>
          <w:szCs w:val="24"/>
          <w:highlight w:val="none"/>
          <w:lang w:val="en-US" w:eastAsia="zh-CN"/>
        </w:rPr>
        <w:t>0</w:t>
      </w:r>
      <w:r>
        <w:rPr>
          <w:rFonts w:hint="eastAsia" w:ascii="仿宋" w:hAnsi="仿宋" w:eastAsia="仿宋"/>
          <w:color w:val="auto"/>
          <w:sz w:val="24"/>
          <w:szCs w:val="24"/>
          <w:highlight w:val="none"/>
        </w:rPr>
        <w:t>、认真熟悉发包方提供的图纸、资料等，结合桩基础施工方案，合理组织施工流水动线，快速有效开展施工；</w:t>
      </w:r>
    </w:p>
    <w:p w14:paraId="0553DD1E">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w:t>
      </w:r>
      <w:r>
        <w:rPr>
          <w:rFonts w:hint="eastAsia" w:ascii="仿宋" w:hAnsi="仿宋" w:eastAsia="仿宋"/>
          <w:color w:val="auto"/>
          <w:sz w:val="24"/>
          <w:szCs w:val="24"/>
          <w:highlight w:val="none"/>
          <w:lang w:val="en-US" w:eastAsia="zh-CN"/>
        </w:rPr>
        <w:t>1</w:t>
      </w:r>
      <w:r>
        <w:rPr>
          <w:rFonts w:hint="eastAsia" w:ascii="仿宋" w:hAnsi="仿宋" w:eastAsia="仿宋"/>
          <w:color w:val="auto"/>
          <w:sz w:val="24"/>
          <w:szCs w:val="24"/>
          <w:highlight w:val="none"/>
        </w:rPr>
        <w:t>、为把好工程质量、安全、进度关，确保工程质量等级达到合格，对工程的质量、安全、进度和成本，实行高效益、有计划的组织、协调和管理。建立健全的施工组织管理机构；</w:t>
      </w:r>
    </w:p>
    <w:p w14:paraId="27697EF1">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w:t>
      </w:r>
      <w:r>
        <w:rPr>
          <w:rFonts w:hint="eastAsia" w:ascii="仿宋" w:hAnsi="仿宋" w:eastAsia="仿宋"/>
          <w:color w:val="auto"/>
          <w:sz w:val="24"/>
          <w:szCs w:val="24"/>
          <w:highlight w:val="none"/>
          <w:lang w:val="en-US" w:eastAsia="zh-CN"/>
        </w:rPr>
        <w:t>2</w:t>
      </w:r>
      <w:r>
        <w:rPr>
          <w:rFonts w:hint="eastAsia" w:ascii="仿宋" w:hAnsi="仿宋" w:eastAsia="仿宋"/>
          <w:color w:val="auto"/>
          <w:sz w:val="24"/>
          <w:szCs w:val="24"/>
          <w:highlight w:val="none"/>
        </w:rPr>
        <w:t>、本工程的签字盖章版进度计划、安全文明施工投入计划、平面布置图、施工组织方案等应在开工前15天内提交给监理、发包方项目部审核。</w:t>
      </w:r>
    </w:p>
    <w:p w14:paraId="2A4762A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w:t>
      </w:r>
      <w:r>
        <w:rPr>
          <w:rFonts w:hint="eastAsia" w:ascii="仿宋" w:hAnsi="仿宋" w:eastAsia="仿宋"/>
          <w:color w:val="auto"/>
          <w:sz w:val="24"/>
          <w:szCs w:val="24"/>
          <w:highlight w:val="none"/>
          <w:lang w:val="en-US" w:eastAsia="zh-CN"/>
        </w:rPr>
        <w:t>3</w:t>
      </w:r>
      <w:r>
        <w:rPr>
          <w:rFonts w:hint="eastAsia" w:ascii="仿宋" w:hAnsi="仿宋" w:eastAsia="仿宋"/>
          <w:color w:val="auto"/>
          <w:sz w:val="24"/>
          <w:szCs w:val="24"/>
          <w:highlight w:val="none"/>
        </w:rPr>
        <w:t>、</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需详细研究勘察报告，若遇到石方异常情况出现，</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需第一时间通知</w:t>
      </w:r>
      <w:r>
        <w:rPr>
          <w:rFonts w:hint="eastAsia" w:ascii="仿宋" w:hAnsi="仿宋" w:eastAsia="仿宋"/>
          <w:color w:val="auto"/>
          <w:sz w:val="24"/>
          <w:szCs w:val="24"/>
          <w:highlight w:val="none"/>
          <w:lang w:val="en-US" w:eastAsia="zh-CN"/>
        </w:rPr>
        <w:t>发包人</w:t>
      </w:r>
      <w:r>
        <w:rPr>
          <w:rFonts w:hint="eastAsia" w:ascii="仿宋" w:hAnsi="仿宋" w:eastAsia="仿宋"/>
          <w:color w:val="auto"/>
          <w:sz w:val="24"/>
          <w:szCs w:val="24"/>
          <w:highlight w:val="none"/>
          <w:lang w:eastAsia="zh-CN"/>
        </w:rPr>
        <w:t>、</w:t>
      </w:r>
      <w:r>
        <w:rPr>
          <w:rFonts w:hint="eastAsia" w:ascii="仿宋" w:hAnsi="仿宋" w:eastAsia="仿宋"/>
          <w:color w:val="auto"/>
          <w:sz w:val="24"/>
          <w:szCs w:val="24"/>
          <w:highlight w:val="none"/>
          <w:lang w:val="en-US" w:eastAsia="zh-CN"/>
        </w:rPr>
        <w:t>代建管理单位</w:t>
      </w:r>
      <w:r>
        <w:rPr>
          <w:rFonts w:hint="eastAsia" w:ascii="仿宋" w:hAnsi="仿宋" w:eastAsia="仿宋"/>
          <w:color w:val="auto"/>
          <w:sz w:val="24"/>
          <w:szCs w:val="24"/>
          <w:highlight w:val="none"/>
        </w:rPr>
        <w:t>、监理</w:t>
      </w:r>
      <w:r>
        <w:rPr>
          <w:rFonts w:hint="eastAsia" w:ascii="仿宋" w:hAnsi="仿宋" w:eastAsia="仿宋"/>
          <w:color w:val="auto"/>
          <w:sz w:val="24"/>
          <w:szCs w:val="24"/>
          <w:highlight w:val="none"/>
          <w:lang w:val="en-US" w:eastAsia="zh-CN"/>
        </w:rPr>
        <w:t>单位</w:t>
      </w:r>
      <w:r>
        <w:rPr>
          <w:rFonts w:hint="eastAsia" w:ascii="仿宋" w:hAnsi="仿宋" w:eastAsia="仿宋"/>
          <w:color w:val="auto"/>
          <w:sz w:val="24"/>
          <w:szCs w:val="24"/>
          <w:highlight w:val="none"/>
        </w:rPr>
        <w:t xml:space="preserve">等单位现场核实并做好工程量计量工作或设计变更。 </w:t>
      </w:r>
    </w:p>
    <w:p w14:paraId="5A443CC0">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w:t>
      </w:r>
      <w:r>
        <w:rPr>
          <w:rFonts w:hint="eastAsia" w:ascii="仿宋" w:hAnsi="仿宋" w:eastAsia="仿宋"/>
          <w:color w:val="auto"/>
          <w:sz w:val="24"/>
          <w:szCs w:val="24"/>
          <w:highlight w:val="none"/>
          <w:lang w:val="en-US" w:eastAsia="zh-CN"/>
        </w:rPr>
        <w:t>4</w:t>
      </w:r>
      <w:r>
        <w:rPr>
          <w:rFonts w:hint="eastAsia" w:ascii="仿宋" w:hAnsi="仿宋" w:eastAsia="仿宋"/>
          <w:color w:val="auto"/>
          <w:sz w:val="24"/>
          <w:szCs w:val="24"/>
          <w:highlight w:val="none"/>
        </w:rPr>
        <w:t>、施工区域内施工所需的场地平整、砖渣回填等措施由承包单位自行负责，拉进场内的砖渣由承包单位负责外运；</w:t>
      </w:r>
    </w:p>
    <w:p w14:paraId="0643F44C">
      <w:pPr>
        <w:spacing w:line="360" w:lineRule="auto"/>
        <w:ind w:firstLine="480" w:firstLineChars="200"/>
        <w:rPr>
          <w:rFonts w:ascii="仿宋" w:hAnsi="仿宋" w:eastAsia="仿宋"/>
          <w:color w:val="auto"/>
          <w:sz w:val="24"/>
          <w:szCs w:val="24"/>
          <w:highlight w:val="none"/>
        </w:rPr>
      </w:pPr>
      <w:r>
        <w:rPr>
          <w:rFonts w:hint="eastAsia" w:ascii="仿宋" w:hAnsi="仿宋" w:eastAsia="仿宋"/>
          <w:color w:val="auto"/>
          <w:sz w:val="24"/>
          <w:szCs w:val="24"/>
          <w:highlight w:val="none"/>
        </w:rPr>
        <w:t>1</w:t>
      </w:r>
      <w:r>
        <w:rPr>
          <w:rFonts w:hint="eastAsia" w:ascii="仿宋" w:hAnsi="仿宋" w:eastAsia="仿宋"/>
          <w:color w:val="auto"/>
          <w:sz w:val="24"/>
          <w:szCs w:val="24"/>
          <w:highlight w:val="none"/>
          <w:lang w:val="en-US" w:eastAsia="zh-CN"/>
        </w:rPr>
        <w:t>5</w:t>
      </w:r>
      <w:r>
        <w:rPr>
          <w:rFonts w:hint="eastAsia" w:ascii="仿宋" w:hAnsi="仿宋" w:eastAsia="仿宋"/>
          <w:color w:val="auto"/>
          <w:sz w:val="24"/>
          <w:szCs w:val="24"/>
          <w:highlight w:val="none"/>
        </w:rPr>
        <w:t>、安全文明押金规定：分包单位进场后，</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对分包的单位的安全文明管理押金收取原则如下：①分包合同总金额在2000万以内，原则上不能超过4万，②合同金额在2000-5000万之间的，原则上不能超过5万，③合同金额超过5000万的，原则上不能超过合同总价的1‰。日后分包单位确实存在安全管理问题和安全隐患未能及时处理，需要罚款的，</w:t>
      </w:r>
      <w:r>
        <w:rPr>
          <w:rFonts w:hint="eastAsia" w:ascii="仿宋" w:hAnsi="仿宋" w:eastAsia="仿宋"/>
          <w:color w:val="auto"/>
          <w:sz w:val="24"/>
          <w:szCs w:val="24"/>
          <w:highlight w:val="none"/>
          <w:lang w:eastAsia="zh-CN"/>
        </w:rPr>
        <w:t>总承包人</w:t>
      </w:r>
      <w:r>
        <w:rPr>
          <w:rFonts w:hint="eastAsia" w:ascii="仿宋" w:hAnsi="仿宋" w:eastAsia="仿宋"/>
          <w:color w:val="auto"/>
          <w:sz w:val="24"/>
          <w:szCs w:val="24"/>
          <w:highlight w:val="none"/>
        </w:rPr>
        <w:t>开具的罚款单应抄送</w:t>
      </w:r>
      <w:r>
        <w:rPr>
          <w:rFonts w:hint="eastAsia" w:ascii="仿宋" w:hAnsi="仿宋" w:eastAsia="仿宋"/>
          <w:color w:val="auto"/>
          <w:sz w:val="24"/>
          <w:szCs w:val="24"/>
          <w:highlight w:val="none"/>
          <w:lang w:eastAsia="zh-CN"/>
        </w:rPr>
        <w:t>发包人</w:t>
      </w:r>
      <w:r>
        <w:rPr>
          <w:rFonts w:hint="eastAsia" w:ascii="仿宋" w:hAnsi="仿宋" w:eastAsia="仿宋"/>
          <w:color w:val="auto"/>
          <w:sz w:val="24"/>
          <w:szCs w:val="24"/>
          <w:highlight w:val="none"/>
        </w:rPr>
        <w:t>和监理确认。</w:t>
      </w:r>
    </w:p>
    <w:p w14:paraId="5CF523B2">
      <w:pPr>
        <w:rPr>
          <w:color w:val="auto"/>
          <w:highlight w:val="none"/>
        </w:rPr>
      </w:pPr>
    </w:p>
    <w:p w14:paraId="4EFE167C">
      <w:pPr>
        <w:rPr>
          <w:color w:val="auto"/>
          <w:highlight w:val="none"/>
        </w:rPr>
      </w:pPr>
    </w:p>
    <w:p w14:paraId="212BB818">
      <w:pPr>
        <w:ind w:left="267" w:leftChars="127"/>
        <w:jc w:val="center"/>
        <w:outlineLvl w:val="0"/>
        <w:rPr>
          <w:rFonts w:ascii="仿宋" w:hAnsi="仿宋" w:eastAsia="仿宋"/>
          <w:b/>
          <w:bCs/>
          <w:color w:val="auto"/>
          <w:kern w:val="0"/>
          <w:sz w:val="32"/>
          <w:szCs w:val="32"/>
          <w:highlight w:val="none"/>
        </w:rPr>
      </w:pPr>
      <w:bookmarkStart w:id="34" w:name="_Toc27063"/>
      <w:r>
        <w:rPr>
          <w:rFonts w:ascii="仿宋" w:hAnsi="仿宋" w:eastAsia="仿宋"/>
          <w:b/>
          <w:bCs/>
          <w:color w:val="auto"/>
          <w:kern w:val="0"/>
          <w:sz w:val="32"/>
          <w:szCs w:val="32"/>
          <w:highlight w:val="none"/>
        </w:rPr>
        <w:t>第</w:t>
      </w:r>
      <w:r>
        <w:rPr>
          <w:rFonts w:hint="eastAsia" w:ascii="仿宋" w:hAnsi="仿宋" w:eastAsia="仿宋"/>
          <w:b/>
          <w:bCs/>
          <w:color w:val="auto"/>
          <w:kern w:val="0"/>
          <w:sz w:val="32"/>
          <w:szCs w:val="32"/>
          <w:highlight w:val="none"/>
        </w:rPr>
        <w:t>三</w:t>
      </w:r>
      <w:r>
        <w:rPr>
          <w:rFonts w:ascii="仿宋" w:hAnsi="仿宋" w:eastAsia="仿宋"/>
          <w:b/>
          <w:bCs/>
          <w:color w:val="auto"/>
          <w:kern w:val="0"/>
          <w:sz w:val="32"/>
          <w:szCs w:val="32"/>
          <w:highlight w:val="none"/>
        </w:rPr>
        <w:t>章</w:t>
      </w:r>
      <w:r>
        <w:rPr>
          <w:rFonts w:hint="eastAsia" w:ascii="仿宋" w:hAnsi="仿宋" w:eastAsia="仿宋"/>
          <w:b/>
          <w:bCs/>
          <w:color w:val="auto"/>
          <w:kern w:val="0"/>
          <w:sz w:val="32"/>
          <w:szCs w:val="32"/>
          <w:highlight w:val="none"/>
        </w:rPr>
        <w:t xml:space="preserve"> </w:t>
      </w:r>
      <w:r>
        <w:rPr>
          <w:rFonts w:ascii="仿宋" w:hAnsi="仿宋" w:eastAsia="仿宋"/>
          <w:b/>
          <w:bCs/>
          <w:color w:val="auto"/>
          <w:kern w:val="0"/>
          <w:sz w:val="32"/>
          <w:szCs w:val="32"/>
          <w:highlight w:val="none"/>
        </w:rPr>
        <w:t xml:space="preserve"> 奖罚细则</w:t>
      </w:r>
      <w:bookmarkEnd w:id="34"/>
    </w:p>
    <w:p w14:paraId="319BB749">
      <w:pPr>
        <w:spacing w:line="360" w:lineRule="auto"/>
        <w:jc w:val="left"/>
        <w:outlineLvl w:val="1"/>
        <w:rPr>
          <w:rFonts w:ascii="仿宋" w:hAnsi="仿宋" w:eastAsia="仿宋"/>
          <w:b/>
          <w:bCs/>
          <w:color w:val="auto"/>
          <w:kern w:val="0"/>
          <w:sz w:val="24"/>
          <w:szCs w:val="24"/>
          <w:highlight w:val="none"/>
        </w:rPr>
      </w:pPr>
      <w:bookmarkStart w:id="35" w:name="_Toc27836"/>
      <w:r>
        <w:rPr>
          <w:rFonts w:hint="eastAsia" w:ascii="仿宋" w:hAnsi="仿宋" w:eastAsia="仿宋"/>
          <w:b/>
          <w:bCs/>
          <w:color w:val="auto"/>
          <w:kern w:val="0"/>
          <w:sz w:val="24"/>
          <w:szCs w:val="24"/>
          <w:highlight w:val="none"/>
        </w:rPr>
        <w:t xml:space="preserve">第一条 </w:t>
      </w:r>
      <w:r>
        <w:rPr>
          <w:rFonts w:ascii="仿宋" w:hAnsi="仿宋" w:eastAsia="仿宋"/>
          <w:b/>
          <w:bCs/>
          <w:color w:val="auto"/>
          <w:kern w:val="0"/>
          <w:sz w:val="24"/>
          <w:szCs w:val="24"/>
          <w:highlight w:val="none"/>
        </w:rPr>
        <w:t xml:space="preserve"> </w:t>
      </w:r>
      <w:r>
        <w:rPr>
          <w:rFonts w:hint="eastAsia" w:ascii="仿宋" w:hAnsi="仿宋" w:eastAsia="仿宋"/>
          <w:b/>
          <w:bCs/>
          <w:color w:val="auto"/>
          <w:kern w:val="0"/>
          <w:sz w:val="24"/>
          <w:szCs w:val="24"/>
          <w:highlight w:val="none"/>
        </w:rPr>
        <w:t>管理方面</w:t>
      </w:r>
      <w:bookmarkEnd w:id="35"/>
    </w:p>
    <w:tbl>
      <w:tblPr>
        <w:tblStyle w:val="38"/>
        <w:tblW w:w="85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
        <w:gridCol w:w="616"/>
        <w:gridCol w:w="5616"/>
        <w:gridCol w:w="1902"/>
      </w:tblGrid>
      <w:tr w14:paraId="71A8BE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2" w:type="dxa"/>
            <w:gridSpan w:val="2"/>
            <w:vAlign w:val="center"/>
          </w:tcPr>
          <w:p w14:paraId="1C6EC04F">
            <w:pPr>
              <w:spacing w:line="56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事项</w:t>
            </w:r>
          </w:p>
        </w:tc>
        <w:tc>
          <w:tcPr>
            <w:tcW w:w="5616" w:type="dxa"/>
            <w:vAlign w:val="center"/>
          </w:tcPr>
          <w:p w14:paraId="25C0149C">
            <w:pPr>
              <w:spacing w:line="56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违规处罚</w:t>
            </w:r>
          </w:p>
        </w:tc>
        <w:tc>
          <w:tcPr>
            <w:tcW w:w="1902" w:type="dxa"/>
            <w:vAlign w:val="center"/>
          </w:tcPr>
          <w:p w14:paraId="7EF1D990">
            <w:pPr>
              <w:spacing w:line="56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罚款金额</w:t>
            </w:r>
          </w:p>
        </w:tc>
      </w:tr>
      <w:tr w14:paraId="105F2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89" w:hRule="atLeast"/>
          <w:jc w:val="center"/>
        </w:trPr>
        <w:tc>
          <w:tcPr>
            <w:tcW w:w="426" w:type="dxa"/>
            <w:vMerge w:val="restart"/>
            <w:vAlign w:val="center"/>
          </w:tcPr>
          <w:p w14:paraId="52740434">
            <w:pPr>
              <w:spacing w:line="56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工程管理</w:t>
            </w:r>
          </w:p>
        </w:tc>
        <w:tc>
          <w:tcPr>
            <w:tcW w:w="616" w:type="dxa"/>
            <w:vAlign w:val="center"/>
          </w:tcPr>
          <w:p w14:paraId="1FA07876">
            <w:pPr>
              <w:spacing w:line="56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w:t>
            </w:r>
          </w:p>
        </w:tc>
        <w:tc>
          <w:tcPr>
            <w:tcW w:w="5616" w:type="dxa"/>
            <w:vAlign w:val="center"/>
          </w:tcPr>
          <w:p w14:paraId="7C73074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在施工中出现的质量问题、劳资纠纷、受政府有关部门通报批评、行政处罚或其他原因造成</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公司形象和声誉损失的，除追究法律责任外，</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有权视情况</w:t>
            </w:r>
            <w:r>
              <w:rPr>
                <w:rFonts w:hint="eastAsia" w:ascii="仿宋" w:hAnsi="仿宋" w:eastAsia="仿宋" w:cs="宋体"/>
                <w:color w:val="auto"/>
                <w:kern w:val="0"/>
                <w:sz w:val="20"/>
                <w:szCs w:val="21"/>
                <w:highlight w:val="none"/>
                <w:lang w:val="en-US" w:eastAsia="zh-CN"/>
              </w:rPr>
              <w:t>要求总承包人承担</w:t>
            </w:r>
            <w:r>
              <w:rPr>
                <w:rFonts w:hint="eastAsia" w:ascii="仿宋" w:hAnsi="仿宋" w:eastAsia="仿宋" w:cs="宋体"/>
                <w:color w:val="auto"/>
                <w:kern w:val="0"/>
                <w:sz w:val="20"/>
                <w:szCs w:val="21"/>
                <w:highlight w:val="none"/>
              </w:rPr>
              <w:t>10000-</w:t>
            </w:r>
            <w:r>
              <w:rPr>
                <w:rFonts w:hint="eastAsia" w:ascii="仿宋" w:hAnsi="仿宋" w:eastAsia="仿宋" w:cs="宋体"/>
                <w:color w:val="auto"/>
                <w:kern w:val="0"/>
                <w:sz w:val="20"/>
                <w:szCs w:val="21"/>
                <w:highlight w:val="none"/>
                <w:lang w:val="en-US" w:eastAsia="zh-CN"/>
              </w:rPr>
              <w:t>10</w:t>
            </w:r>
            <w:r>
              <w:rPr>
                <w:rFonts w:hint="eastAsia" w:ascii="仿宋" w:hAnsi="仿宋" w:eastAsia="仿宋" w:cs="宋体"/>
                <w:color w:val="auto"/>
                <w:kern w:val="0"/>
                <w:sz w:val="20"/>
                <w:szCs w:val="21"/>
                <w:highlight w:val="none"/>
              </w:rPr>
              <w:t>0000元人民币/次或工程款总金额千分之五/次的</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(以较高者为准)。如有再犯则</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有权解除合同并要求</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无条件退场，且</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不得再承揽</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任何工程，</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不得有任何异议。无论任何原因，发生乙方员工或其分包人员、供应商到</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集团总部或</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工地、办公室、售楼处等生产经营场所以拉横幅、围堵、静坐、阻挠等方式影响</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生产经营秩序或到政府部门信访的，每发生一次乙方支付</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违约金人民币30000元。</w:t>
            </w:r>
          </w:p>
        </w:tc>
        <w:tc>
          <w:tcPr>
            <w:tcW w:w="1902" w:type="dxa"/>
            <w:vAlign w:val="center"/>
          </w:tcPr>
          <w:p w14:paraId="0A68B22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10000-</w:t>
            </w:r>
            <w:r>
              <w:rPr>
                <w:rFonts w:hint="eastAsia" w:ascii="仿宋" w:hAnsi="仿宋" w:eastAsia="仿宋" w:cs="宋体"/>
                <w:color w:val="auto"/>
                <w:kern w:val="0"/>
                <w:sz w:val="20"/>
                <w:szCs w:val="21"/>
                <w:highlight w:val="none"/>
                <w:lang w:val="en-US" w:eastAsia="zh-CN"/>
              </w:rPr>
              <w:t>10</w:t>
            </w:r>
            <w:r>
              <w:rPr>
                <w:rFonts w:hint="eastAsia" w:ascii="仿宋" w:hAnsi="仿宋" w:eastAsia="仿宋" w:cs="宋体"/>
                <w:color w:val="auto"/>
                <w:kern w:val="0"/>
                <w:sz w:val="20"/>
                <w:szCs w:val="21"/>
                <w:highlight w:val="none"/>
              </w:rPr>
              <w:t>0000元/次</w:t>
            </w:r>
          </w:p>
        </w:tc>
      </w:tr>
      <w:tr w14:paraId="2A5932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7" w:hRule="atLeast"/>
          <w:jc w:val="center"/>
        </w:trPr>
        <w:tc>
          <w:tcPr>
            <w:tcW w:w="426" w:type="dxa"/>
            <w:vMerge w:val="continue"/>
            <w:vAlign w:val="center"/>
          </w:tcPr>
          <w:p w14:paraId="06889473">
            <w:pPr>
              <w:spacing w:line="560" w:lineRule="exact"/>
              <w:jc w:val="center"/>
              <w:rPr>
                <w:rFonts w:ascii="仿宋" w:hAnsi="仿宋" w:eastAsia="仿宋" w:cs="宋体"/>
                <w:color w:val="auto"/>
                <w:kern w:val="0"/>
                <w:sz w:val="20"/>
                <w:szCs w:val="21"/>
                <w:highlight w:val="none"/>
              </w:rPr>
            </w:pPr>
          </w:p>
        </w:tc>
        <w:tc>
          <w:tcPr>
            <w:tcW w:w="616" w:type="dxa"/>
            <w:vAlign w:val="center"/>
          </w:tcPr>
          <w:p w14:paraId="748DDCF8">
            <w:pPr>
              <w:spacing w:line="56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w:t>
            </w:r>
          </w:p>
        </w:tc>
        <w:tc>
          <w:tcPr>
            <w:tcW w:w="5616" w:type="dxa"/>
            <w:vAlign w:val="center"/>
          </w:tcPr>
          <w:p w14:paraId="7D6F01E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因</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疏忽、未做好施工安全措施等原因发生工程安全事故，</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除承担相应的法律责任及经济赔偿责任外，</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有权视情况</w:t>
            </w:r>
            <w:r>
              <w:rPr>
                <w:rFonts w:hint="eastAsia" w:ascii="仿宋" w:hAnsi="仿宋" w:eastAsia="仿宋" w:cs="宋体"/>
                <w:color w:val="auto"/>
                <w:kern w:val="0"/>
                <w:sz w:val="20"/>
                <w:szCs w:val="21"/>
                <w:highlight w:val="none"/>
                <w:lang w:val="en-US" w:eastAsia="zh-CN"/>
              </w:rPr>
              <w:t>要求总承包人承担</w:t>
            </w:r>
            <w:r>
              <w:rPr>
                <w:rFonts w:hint="eastAsia" w:ascii="仿宋" w:hAnsi="仿宋" w:eastAsia="仿宋" w:cs="宋体"/>
                <w:color w:val="auto"/>
                <w:kern w:val="0"/>
                <w:sz w:val="20"/>
                <w:szCs w:val="21"/>
                <w:highlight w:val="none"/>
              </w:rPr>
              <w:t>500-20000元人民币/次或工程款总金额千分之一/次的</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，不足以赔偿的，以</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实际损失金额为准。如有再犯则</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有权解除合同并要求</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无条件退场，且不得再承揽本公司之任何工程，</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不得有任何异议。如出现重大人身伤亡或机械事故，</w:t>
            </w:r>
            <w:r>
              <w:rPr>
                <w:rFonts w:hint="eastAsia" w:ascii="仿宋" w:hAnsi="仿宋" w:eastAsia="仿宋" w:cs="宋体"/>
                <w:color w:val="auto"/>
                <w:kern w:val="0"/>
                <w:sz w:val="20"/>
                <w:szCs w:val="21"/>
                <w:highlight w:val="none"/>
                <w:lang w:val="en-US" w:eastAsia="zh-CN"/>
              </w:rPr>
              <w:t>总承包人</w:t>
            </w:r>
            <w:r>
              <w:rPr>
                <w:rFonts w:hint="eastAsia" w:ascii="仿宋" w:hAnsi="仿宋" w:eastAsia="仿宋" w:cs="宋体"/>
                <w:color w:val="auto"/>
                <w:kern w:val="0"/>
                <w:sz w:val="20"/>
                <w:szCs w:val="21"/>
                <w:highlight w:val="none"/>
              </w:rPr>
              <w:t>承担由此产生的责任和费用外，造成社会影响或政府部门处理（如责令停工或处罚的），</w:t>
            </w:r>
            <w:r>
              <w:rPr>
                <w:rFonts w:hint="eastAsia" w:ascii="仿宋" w:hAnsi="仿宋" w:eastAsia="仿宋" w:cs="宋体"/>
                <w:color w:val="auto"/>
                <w:kern w:val="0"/>
                <w:sz w:val="20"/>
                <w:szCs w:val="21"/>
                <w:highlight w:val="none"/>
                <w:lang w:val="en-US" w:eastAsia="zh-CN"/>
              </w:rPr>
              <w:t>总承包人承担</w:t>
            </w:r>
            <w:r>
              <w:rPr>
                <w:rFonts w:hint="eastAsia" w:ascii="仿宋" w:hAnsi="仿宋" w:eastAsia="仿宋" w:cs="宋体"/>
                <w:color w:val="auto"/>
                <w:kern w:val="0"/>
                <w:sz w:val="20"/>
                <w:szCs w:val="21"/>
                <w:highlight w:val="none"/>
              </w:rPr>
              <w:t>10000-100000元/次的</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；因</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原因被行政主管部门扣项目经理分或监理单位总监分，处以10000元/分的</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，被行政主管部门扣</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、监理单位企业分，处以20000元/分的</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w:t>
            </w:r>
          </w:p>
        </w:tc>
        <w:tc>
          <w:tcPr>
            <w:tcW w:w="1902" w:type="dxa"/>
            <w:vAlign w:val="center"/>
          </w:tcPr>
          <w:p w14:paraId="0720857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lang w:val="en-US" w:eastAsia="zh-CN"/>
              </w:rPr>
              <w:t>100</w:t>
            </w:r>
            <w:r>
              <w:rPr>
                <w:rFonts w:hint="eastAsia" w:ascii="仿宋" w:hAnsi="仿宋" w:eastAsia="仿宋" w:cs="宋体"/>
                <w:color w:val="auto"/>
                <w:kern w:val="0"/>
                <w:sz w:val="20"/>
                <w:szCs w:val="21"/>
                <w:highlight w:val="none"/>
              </w:rPr>
              <w:t>00-</w:t>
            </w:r>
            <w:r>
              <w:rPr>
                <w:rFonts w:hint="eastAsia" w:ascii="仿宋" w:hAnsi="仿宋" w:eastAsia="仿宋" w:cs="宋体"/>
                <w:color w:val="auto"/>
                <w:kern w:val="0"/>
                <w:sz w:val="20"/>
                <w:szCs w:val="21"/>
                <w:highlight w:val="none"/>
                <w:lang w:val="en-US" w:eastAsia="zh-CN"/>
              </w:rPr>
              <w:t>1</w:t>
            </w:r>
            <w:r>
              <w:rPr>
                <w:rFonts w:hint="eastAsia" w:ascii="仿宋" w:hAnsi="仿宋" w:eastAsia="仿宋" w:cs="宋体"/>
                <w:color w:val="auto"/>
                <w:kern w:val="0"/>
                <w:sz w:val="20"/>
                <w:szCs w:val="21"/>
                <w:highlight w:val="none"/>
              </w:rPr>
              <w:t>000</w:t>
            </w:r>
            <w:r>
              <w:rPr>
                <w:rFonts w:ascii="仿宋" w:hAnsi="仿宋" w:eastAsia="仿宋" w:cs="宋体"/>
                <w:color w:val="auto"/>
                <w:kern w:val="0"/>
                <w:sz w:val="20"/>
                <w:szCs w:val="21"/>
                <w:highlight w:val="none"/>
              </w:rPr>
              <w:t>0</w:t>
            </w:r>
            <w:r>
              <w:rPr>
                <w:rFonts w:hint="eastAsia" w:ascii="仿宋" w:hAnsi="仿宋" w:eastAsia="仿宋" w:cs="宋体"/>
                <w:color w:val="auto"/>
                <w:kern w:val="0"/>
                <w:sz w:val="20"/>
                <w:szCs w:val="21"/>
                <w:highlight w:val="none"/>
                <w:lang w:val="en-US" w:eastAsia="zh-CN"/>
              </w:rPr>
              <w:t>0</w:t>
            </w:r>
            <w:r>
              <w:rPr>
                <w:rFonts w:hint="eastAsia" w:ascii="仿宋" w:hAnsi="仿宋" w:eastAsia="仿宋" w:cs="宋体"/>
                <w:color w:val="auto"/>
                <w:kern w:val="0"/>
                <w:sz w:val="20"/>
                <w:szCs w:val="21"/>
                <w:highlight w:val="none"/>
              </w:rPr>
              <w:t>元/次</w:t>
            </w:r>
          </w:p>
        </w:tc>
      </w:tr>
      <w:tr w14:paraId="44602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426" w:type="dxa"/>
            <w:vMerge w:val="continue"/>
            <w:vAlign w:val="center"/>
          </w:tcPr>
          <w:p w14:paraId="015E7031">
            <w:pPr>
              <w:spacing w:line="560" w:lineRule="exact"/>
              <w:jc w:val="center"/>
              <w:rPr>
                <w:rFonts w:ascii="仿宋" w:hAnsi="仿宋" w:eastAsia="仿宋" w:cs="宋体"/>
                <w:color w:val="auto"/>
                <w:kern w:val="0"/>
                <w:sz w:val="20"/>
                <w:szCs w:val="21"/>
                <w:highlight w:val="none"/>
              </w:rPr>
            </w:pPr>
          </w:p>
        </w:tc>
        <w:tc>
          <w:tcPr>
            <w:tcW w:w="616" w:type="dxa"/>
            <w:vAlign w:val="center"/>
          </w:tcPr>
          <w:p w14:paraId="72D9529D">
            <w:pPr>
              <w:spacing w:line="56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w:t>
            </w:r>
          </w:p>
        </w:tc>
        <w:tc>
          <w:tcPr>
            <w:tcW w:w="5616" w:type="dxa"/>
            <w:vAlign w:val="center"/>
          </w:tcPr>
          <w:p w14:paraId="3590169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凡未依合同及图纸说明进行施工、偷工、减料或造成返工影响工期的</w:t>
            </w:r>
          </w:p>
        </w:tc>
        <w:tc>
          <w:tcPr>
            <w:tcW w:w="1902" w:type="dxa"/>
            <w:vAlign w:val="center"/>
          </w:tcPr>
          <w:p w14:paraId="53BB409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w:t>
            </w:r>
            <w:r>
              <w:rPr>
                <w:rFonts w:hint="eastAsia" w:ascii="仿宋" w:hAnsi="仿宋" w:eastAsia="仿宋" w:cs="宋体"/>
                <w:color w:val="auto"/>
                <w:kern w:val="0"/>
                <w:sz w:val="20"/>
                <w:szCs w:val="21"/>
                <w:highlight w:val="none"/>
                <w:lang w:val="en-US" w:eastAsia="zh-CN"/>
              </w:rPr>
              <w:t>0</w:t>
            </w:r>
            <w:r>
              <w:rPr>
                <w:rFonts w:hint="eastAsia" w:ascii="仿宋" w:hAnsi="仿宋" w:eastAsia="仿宋" w:cs="宋体"/>
                <w:color w:val="auto"/>
                <w:kern w:val="0"/>
                <w:sz w:val="20"/>
                <w:szCs w:val="21"/>
                <w:highlight w:val="none"/>
              </w:rPr>
              <w:t>-</w:t>
            </w:r>
            <w:r>
              <w:rPr>
                <w:rFonts w:hint="eastAsia" w:ascii="仿宋" w:hAnsi="仿宋" w:eastAsia="仿宋" w:cs="宋体"/>
                <w:color w:val="auto"/>
                <w:kern w:val="0"/>
                <w:sz w:val="20"/>
                <w:szCs w:val="21"/>
                <w:highlight w:val="none"/>
                <w:lang w:val="en-US" w:eastAsia="zh-CN"/>
              </w:rPr>
              <w:t>10</w:t>
            </w:r>
            <w:r>
              <w:rPr>
                <w:rFonts w:hint="eastAsia" w:ascii="仿宋" w:hAnsi="仿宋" w:eastAsia="仿宋" w:cs="宋体"/>
                <w:color w:val="auto"/>
                <w:kern w:val="0"/>
                <w:sz w:val="20"/>
                <w:szCs w:val="21"/>
                <w:highlight w:val="none"/>
              </w:rPr>
              <w:t>000</w:t>
            </w:r>
            <w:r>
              <w:rPr>
                <w:rFonts w:ascii="仿宋" w:hAnsi="仿宋" w:eastAsia="仿宋" w:cs="宋体"/>
                <w:color w:val="auto"/>
                <w:kern w:val="0"/>
                <w:sz w:val="20"/>
                <w:szCs w:val="21"/>
                <w:highlight w:val="none"/>
              </w:rPr>
              <w:t>0</w:t>
            </w:r>
            <w:r>
              <w:rPr>
                <w:rFonts w:hint="eastAsia" w:ascii="仿宋" w:hAnsi="仿宋" w:eastAsia="仿宋" w:cs="宋体"/>
                <w:color w:val="auto"/>
                <w:kern w:val="0"/>
                <w:sz w:val="20"/>
                <w:szCs w:val="21"/>
                <w:highlight w:val="none"/>
              </w:rPr>
              <w:t>/次并负责修复、赔偿损失</w:t>
            </w:r>
          </w:p>
        </w:tc>
      </w:tr>
      <w:tr w14:paraId="2B6909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26" w:type="dxa"/>
            <w:vMerge w:val="continue"/>
            <w:vAlign w:val="center"/>
          </w:tcPr>
          <w:p w14:paraId="2A284D5F">
            <w:pPr>
              <w:spacing w:line="560" w:lineRule="exact"/>
              <w:jc w:val="center"/>
              <w:rPr>
                <w:rFonts w:ascii="仿宋" w:hAnsi="仿宋" w:eastAsia="仿宋" w:cs="宋体"/>
                <w:color w:val="auto"/>
                <w:kern w:val="0"/>
                <w:sz w:val="20"/>
                <w:szCs w:val="21"/>
                <w:highlight w:val="none"/>
              </w:rPr>
            </w:pPr>
          </w:p>
        </w:tc>
        <w:tc>
          <w:tcPr>
            <w:tcW w:w="616" w:type="dxa"/>
            <w:vAlign w:val="center"/>
          </w:tcPr>
          <w:p w14:paraId="72D072F2">
            <w:pPr>
              <w:spacing w:line="56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w:t>
            </w:r>
          </w:p>
        </w:tc>
        <w:tc>
          <w:tcPr>
            <w:tcW w:w="5616" w:type="dxa"/>
            <w:vAlign w:val="center"/>
          </w:tcPr>
          <w:p w14:paraId="535A471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未按约定配置相关人员</w:t>
            </w:r>
          </w:p>
        </w:tc>
        <w:tc>
          <w:tcPr>
            <w:tcW w:w="1902" w:type="dxa"/>
            <w:vAlign w:val="center"/>
          </w:tcPr>
          <w:p w14:paraId="244DF11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2000元以上每</w:t>
            </w:r>
          </w:p>
          <w:p w14:paraId="4E8587C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人/每周</w:t>
            </w:r>
          </w:p>
        </w:tc>
      </w:tr>
      <w:tr w14:paraId="01D7D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426" w:type="dxa"/>
            <w:vMerge w:val="continue"/>
            <w:vAlign w:val="center"/>
          </w:tcPr>
          <w:p w14:paraId="3EA90397">
            <w:pPr>
              <w:spacing w:line="560" w:lineRule="exact"/>
              <w:jc w:val="center"/>
              <w:rPr>
                <w:rFonts w:ascii="仿宋" w:hAnsi="仿宋" w:eastAsia="仿宋" w:cs="宋体"/>
                <w:color w:val="auto"/>
                <w:kern w:val="0"/>
                <w:sz w:val="20"/>
                <w:szCs w:val="21"/>
                <w:highlight w:val="none"/>
              </w:rPr>
            </w:pPr>
          </w:p>
        </w:tc>
        <w:tc>
          <w:tcPr>
            <w:tcW w:w="616" w:type="dxa"/>
            <w:vAlign w:val="center"/>
          </w:tcPr>
          <w:p w14:paraId="574C647A">
            <w:pPr>
              <w:spacing w:line="56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w:t>
            </w:r>
          </w:p>
        </w:tc>
        <w:tc>
          <w:tcPr>
            <w:tcW w:w="5616" w:type="dxa"/>
            <w:vAlign w:val="center"/>
          </w:tcPr>
          <w:p w14:paraId="041D94F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项目经理、技术总工，安全负责人未按要求参加会议的</w:t>
            </w:r>
          </w:p>
        </w:tc>
        <w:tc>
          <w:tcPr>
            <w:tcW w:w="1902" w:type="dxa"/>
            <w:vAlign w:val="center"/>
          </w:tcPr>
          <w:p w14:paraId="2BE12F3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200元每人/每次，第二次无故缺席将双倍经济处罚</w:t>
            </w:r>
          </w:p>
        </w:tc>
      </w:tr>
      <w:tr w14:paraId="2A8D6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426" w:type="dxa"/>
            <w:vMerge w:val="continue"/>
            <w:vAlign w:val="center"/>
          </w:tcPr>
          <w:p w14:paraId="6F810392">
            <w:pPr>
              <w:spacing w:line="560" w:lineRule="exact"/>
              <w:jc w:val="center"/>
              <w:rPr>
                <w:rFonts w:ascii="仿宋" w:hAnsi="仿宋" w:eastAsia="仿宋" w:cs="宋体"/>
                <w:color w:val="auto"/>
                <w:kern w:val="0"/>
                <w:sz w:val="20"/>
                <w:szCs w:val="21"/>
                <w:highlight w:val="none"/>
              </w:rPr>
            </w:pPr>
          </w:p>
        </w:tc>
        <w:tc>
          <w:tcPr>
            <w:tcW w:w="616" w:type="dxa"/>
            <w:vAlign w:val="center"/>
          </w:tcPr>
          <w:p w14:paraId="397F1F15">
            <w:pPr>
              <w:spacing w:line="56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6</w:t>
            </w:r>
          </w:p>
        </w:tc>
        <w:tc>
          <w:tcPr>
            <w:tcW w:w="5616" w:type="dxa"/>
            <w:vAlign w:val="center"/>
          </w:tcPr>
          <w:p w14:paraId="6565AB34">
            <w:pPr>
              <w:tabs>
                <w:tab w:val="left" w:pos="1442"/>
                <w:tab w:val="left" w:pos="1470"/>
              </w:tabs>
              <w:spacing w:line="400" w:lineRule="exact"/>
              <w:ind w:left="-94" w:leftChars="-45" w:firstLine="400" w:firstLineChars="200"/>
              <w:jc w:val="lef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未按要求提报月、周施工计划、周报等工程资料的，处以500元/次的</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；乙方应于合同签订后15日内向监理和</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提交详细的施工组织设计与总进度计划，应符合专用条款及招标文件要求，审批后作为施工总进度控制的依据。乙方未按期提交计划或未按期完成修改的，每逾期一日，应当向</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支付违约金1000元；工程实际进度迟于计划要求时，乙方应按</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、监理公司的要求提出改进措施，经监理公司确认后执行，否则每滞后一天</w:t>
            </w:r>
            <w:r>
              <w:rPr>
                <w:rFonts w:hint="eastAsia" w:ascii="仿宋" w:hAnsi="仿宋" w:eastAsia="仿宋" w:cs="宋体"/>
                <w:color w:val="auto"/>
                <w:kern w:val="0"/>
                <w:sz w:val="20"/>
                <w:szCs w:val="21"/>
                <w:highlight w:val="none"/>
                <w:lang w:val="en-US" w:eastAsia="zh-CN"/>
              </w:rPr>
              <w:t>承担</w:t>
            </w:r>
            <w:r>
              <w:rPr>
                <w:rFonts w:hint="eastAsia" w:ascii="仿宋" w:hAnsi="仿宋" w:eastAsia="仿宋" w:cs="宋体"/>
                <w:color w:val="auto"/>
                <w:kern w:val="0"/>
                <w:sz w:val="20"/>
                <w:szCs w:val="21"/>
                <w:highlight w:val="none"/>
              </w:rPr>
              <w:t>1000~20000元</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w:t>
            </w:r>
          </w:p>
        </w:tc>
        <w:tc>
          <w:tcPr>
            <w:tcW w:w="1902" w:type="dxa"/>
            <w:vAlign w:val="center"/>
          </w:tcPr>
          <w:p w14:paraId="657CA30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61B6B0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426" w:type="dxa"/>
            <w:vMerge w:val="continue"/>
            <w:vAlign w:val="center"/>
          </w:tcPr>
          <w:p w14:paraId="4651FE44">
            <w:pPr>
              <w:spacing w:line="560" w:lineRule="exact"/>
              <w:jc w:val="center"/>
              <w:rPr>
                <w:rFonts w:ascii="仿宋" w:hAnsi="仿宋" w:eastAsia="仿宋" w:cs="宋体"/>
                <w:color w:val="auto"/>
                <w:kern w:val="0"/>
                <w:sz w:val="20"/>
                <w:szCs w:val="21"/>
                <w:highlight w:val="none"/>
              </w:rPr>
            </w:pPr>
          </w:p>
        </w:tc>
        <w:tc>
          <w:tcPr>
            <w:tcW w:w="616" w:type="dxa"/>
            <w:vAlign w:val="center"/>
          </w:tcPr>
          <w:p w14:paraId="5D9F4A2F">
            <w:pPr>
              <w:spacing w:line="56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w:t>
            </w:r>
          </w:p>
        </w:tc>
        <w:tc>
          <w:tcPr>
            <w:tcW w:w="5616" w:type="dxa"/>
            <w:vAlign w:val="center"/>
          </w:tcPr>
          <w:p w14:paraId="0C144B40">
            <w:pPr>
              <w:spacing w:line="48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实测实量（木模）分数低于88分的将给予</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5000元经济处罚。</w:t>
            </w:r>
          </w:p>
        </w:tc>
        <w:tc>
          <w:tcPr>
            <w:tcW w:w="1902" w:type="dxa"/>
            <w:vAlign w:val="center"/>
          </w:tcPr>
          <w:p w14:paraId="15A8EB8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5000元/次/月</w:t>
            </w:r>
          </w:p>
        </w:tc>
      </w:tr>
    </w:tbl>
    <w:p w14:paraId="1269A4A6">
      <w:pPr>
        <w:pStyle w:val="36"/>
        <w:rPr>
          <w:rFonts w:ascii="仿宋" w:hAnsi="仿宋" w:eastAsia="仿宋"/>
          <w:color w:val="auto"/>
          <w:highlight w:val="none"/>
        </w:rPr>
      </w:pPr>
    </w:p>
    <w:p w14:paraId="49F9E682">
      <w:pPr>
        <w:pStyle w:val="36"/>
        <w:rPr>
          <w:rFonts w:ascii="仿宋" w:hAnsi="仿宋" w:eastAsia="仿宋"/>
          <w:color w:val="auto"/>
          <w:highlight w:val="none"/>
        </w:rPr>
      </w:pPr>
    </w:p>
    <w:p w14:paraId="319C076F">
      <w:pPr>
        <w:pStyle w:val="36"/>
        <w:rPr>
          <w:rFonts w:ascii="仿宋" w:hAnsi="仿宋" w:eastAsia="仿宋"/>
          <w:color w:val="auto"/>
          <w:highlight w:val="none"/>
        </w:rPr>
      </w:pPr>
    </w:p>
    <w:p w14:paraId="14826D13">
      <w:pPr>
        <w:spacing w:line="360" w:lineRule="auto"/>
        <w:jc w:val="left"/>
        <w:outlineLvl w:val="1"/>
        <w:rPr>
          <w:rFonts w:ascii="仿宋" w:hAnsi="仿宋" w:eastAsia="仿宋"/>
          <w:b/>
          <w:bCs/>
          <w:color w:val="auto"/>
          <w:kern w:val="0"/>
          <w:sz w:val="24"/>
          <w:szCs w:val="24"/>
          <w:highlight w:val="none"/>
        </w:rPr>
      </w:pPr>
      <w:bookmarkStart w:id="36" w:name="_Toc15921"/>
      <w:r>
        <w:rPr>
          <w:rFonts w:hint="eastAsia" w:ascii="仿宋" w:hAnsi="仿宋" w:eastAsia="仿宋"/>
          <w:b/>
          <w:bCs/>
          <w:color w:val="auto"/>
          <w:kern w:val="0"/>
          <w:sz w:val="24"/>
          <w:szCs w:val="24"/>
          <w:highlight w:val="none"/>
        </w:rPr>
        <w:t xml:space="preserve">第二条 </w:t>
      </w:r>
      <w:r>
        <w:rPr>
          <w:rFonts w:ascii="仿宋" w:hAnsi="仿宋" w:eastAsia="仿宋"/>
          <w:b/>
          <w:bCs/>
          <w:color w:val="auto"/>
          <w:kern w:val="0"/>
          <w:sz w:val="24"/>
          <w:szCs w:val="24"/>
          <w:highlight w:val="none"/>
        </w:rPr>
        <w:t xml:space="preserve"> </w:t>
      </w:r>
      <w:r>
        <w:rPr>
          <w:rFonts w:hint="eastAsia" w:ascii="仿宋" w:hAnsi="仿宋" w:eastAsia="仿宋"/>
          <w:b/>
          <w:bCs/>
          <w:color w:val="auto"/>
          <w:kern w:val="0"/>
          <w:sz w:val="24"/>
          <w:szCs w:val="24"/>
          <w:highlight w:val="none"/>
        </w:rPr>
        <w:t>质量方面</w:t>
      </w:r>
      <w:bookmarkEnd w:id="36"/>
    </w:p>
    <w:tbl>
      <w:tblPr>
        <w:tblStyle w:val="38"/>
        <w:tblW w:w="85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
        <w:gridCol w:w="616"/>
        <w:gridCol w:w="3812"/>
        <w:gridCol w:w="2103"/>
        <w:gridCol w:w="56"/>
        <w:gridCol w:w="1547"/>
      </w:tblGrid>
      <w:tr w14:paraId="0C891F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2" w:type="dxa"/>
            <w:gridSpan w:val="2"/>
            <w:vAlign w:val="center"/>
          </w:tcPr>
          <w:p w14:paraId="4F876E60">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事项</w:t>
            </w:r>
          </w:p>
        </w:tc>
        <w:tc>
          <w:tcPr>
            <w:tcW w:w="5915" w:type="dxa"/>
            <w:gridSpan w:val="2"/>
            <w:vAlign w:val="center"/>
          </w:tcPr>
          <w:p w14:paraId="5E63DF76">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违规处罚</w:t>
            </w:r>
          </w:p>
        </w:tc>
        <w:tc>
          <w:tcPr>
            <w:tcW w:w="1603" w:type="dxa"/>
            <w:gridSpan w:val="2"/>
            <w:vAlign w:val="center"/>
          </w:tcPr>
          <w:p w14:paraId="429D4649">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lang w:val="en-US" w:eastAsia="zh-CN"/>
              </w:rPr>
              <w:t>违约金</w:t>
            </w:r>
            <w:r>
              <w:rPr>
                <w:rFonts w:hint="eastAsia" w:ascii="仿宋" w:hAnsi="仿宋" w:eastAsia="仿宋" w:cs="宋体"/>
                <w:b/>
                <w:color w:val="auto"/>
                <w:kern w:val="0"/>
                <w:sz w:val="20"/>
                <w:szCs w:val="21"/>
                <w:highlight w:val="none"/>
              </w:rPr>
              <w:t>金额</w:t>
            </w:r>
          </w:p>
        </w:tc>
      </w:tr>
      <w:tr w14:paraId="59FEE8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9" w:hRule="atLeast"/>
          <w:jc w:val="center"/>
        </w:trPr>
        <w:tc>
          <w:tcPr>
            <w:tcW w:w="426" w:type="dxa"/>
            <w:vMerge w:val="restart"/>
            <w:vAlign w:val="center"/>
          </w:tcPr>
          <w:p w14:paraId="56F783C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钢筋工程</w:t>
            </w:r>
          </w:p>
        </w:tc>
        <w:tc>
          <w:tcPr>
            <w:tcW w:w="616" w:type="dxa"/>
            <w:vAlign w:val="center"/>
          </w:tcPr>
          <w:p w14:paraId="6D8EA3B0">
            <w:pPr>
              <w:spacing w:line="40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7</w:t>
            </w:r>
          </w:p>
        </w:tc>
        <w:tc>
          <w:tcPr>
            <w:tcW w:w="5915" w:type="dxa"/>
            <w:gridSpan w:val="2"/>
            <w:vAlign w:val="center"/>
          </w:tcPr>
          <w:p w14:paraId="725C599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未依结构图说明进行施工，柱梁主筋的、箍筋直径(号数)、根数、锚固长度、搭接位置长度与图说不符</w:t>
            </w:r>
          </w:p>
        </w:tc>
        <w:tc>
          <w:tcPr>
            <w:tcW w:w="1603" w:type="dxa"/>
            <w:gridSpan w:val="2"/>
            <w:vAlign w:val="center"/>
          </w:tcPr>
          <w:p w14:paraId="5E48297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36DC9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6E1C711D">
            <w:pPr>
              <w:spacing w:line="400" w:lineRule="exact"/>
              <w:rPr>
                <w:rFonts w:ascii="仿宋" w:hAnsi="仿宋" w:eastAsia="仿宋" w:cs="宋体"/>
                <w:color w:val="auto"/>
                <w:kern w:val="0"/>
                <w:sz w:val="20"/>
                <w:szCs w:val="21"/>
                <w:highlight w:val="none"/>
              </w:rPr>
            </w:pPr>
          </w:p>
        </w:tc>
        <w:tc>
          <w:tcPr>
            <w:tcW w:w="616" w:type="dxa"/>
            <w:vAlign w:val="center"/>
          </w:tcPr>
          <w:p w14:paraId="0819E6FE">
            <w:pPr>
              <w:spacing w:line="40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8</w:t>
            </w:r>
          </w:p>
        </w:tc>
        <w:tc>
          <w:tcPr>
            <w:tcW w:w="5915" w:type="dxa"/>
            <w:gridSpan w:val="2"/>
            <w:vAlign w:val="center"/>
          </w:tcPr>
          <w:p w14:paraId="4C3F789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柱梁筋间距保持不良、严重超规范的</w:t>
            </w:r>
          </w:p>
        </w:tc>
        <w:tc>
          <w:tcPr>
            <w:tcW w:w="1603" w:type="dxa"/>
            <w:gridSpan w:val="2"/>
            <w:vAlign w:val="center"/>
          </w:tcPr>
          <w:p w14:paraId="15078EE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65C71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2323FE8C">
            <w:pPr>
              <w:spacing w:line="400" w:lineRule="exact"/>
              <w:rPr>
                <w:rFonts w:ascii="仿宋" w:hAnsi="仿宋" w:eastAsia="仿宋" w:cs="宋体"/>
                <w:color w:val="auto"/>
                <w:kern w:val="0"/>
                <w:sz w:val="20"/>
                <w:szCs w:val="21"/>
                <w:highlight w:val="none"/>
              </w:rPr>
            </w:pPr>
          </w:p>
        </w:tc>
        <w:tc>
          <w:tcPr>
            <w:tcW w:w="616" w:type="dxa"/>
            <w:vAlign w:val="center"/>
          </w:tcPr>
          <w:p w14:paraId="590B8B03">
            <w:pPr>
              <w:spacing w:line="40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9</w:t>
            </w:r>
          </w:p>
        </w:tc>
        <w:tc>
          <w:tcPr>
            <w:tcW w:w="5915" w:type="dxa"/>
            <w:gridSpan w:val="2"/>
            <w:vAlign w:val="center"/>
          </w:tcPr>
          <w:p w14:paraId="508DBEF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双层筋或负弯筋处不设马凳或设置不符合要求的</w:t>
            </w:r>
          </w:p>
        </w:tc>
        <w:tc>
          <w:tcPr>
            <w:tcW w:w="1603" w:type="dxa"/>
            <w:gridSpan w:val="2"/>
            <w:vAlign w:val="center"/>
          </w:tcPr>
          <w:p w14:paraId="52AD942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3F296C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4E714A4B">
            <w:pPr>
              <w:spacing w:line="400" w:lineRule="exact"/>
              <w:rPr>
                <w:rFonts w:ascii="仿宋" w:hAnsi="仿宋" w:eastAsia="仿宋" w:cs="宋体"/>
                <w:color w:val="auto"/>
                <w:kern w:val="0"/>
                <w:sz w:val="20"/>
                <w:szCs w:val="21"/>
                <w:highlight w:val="none"/>
              </w:rPr>
            </w:pPr>
          </w:p>
        </w:tc>
        <w:tc>
          <w:tcPr>
            <w:tcW w:w="616" w:type="dxa"/>
            <w:vAlign w:val="center"/>
          </w:tcPr>
          <w:p w14:paraId="2471C12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w:t>
            </w:r>
          </w:p>
        </w:tc>
        <w:tc>
          <w:tcPr>
            <w:tcW w:w="5915" w:type="dxa"/>
            <w:gridSpan w:val="2"/>
            <w:vAlign w:val="center"/>
          </w:tcPr>
          <w:p w14:paraId="3D69F5B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钢筋未经隐蔽验收擅自隐蔽</w:t>
            </w:r>
          </w:p>
        </w:tc>
        <w:tc>
          <w:tcPr>
            <w:tcW w:w="1603" w:type="dxa"/>
            <w:gridSpan w:val="2"/>
            <w:vAlign w:val="center"/>
          </w:tcPr>
          <w:p w14:paraId="58BCCD5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25652D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3C21E39F">
            <w:pPr>
              <w:spacing w:line="400" w:lineRule="exact"/>
              <w:rPr>
                <w:rFonts w:ascii="仿宋" w:hAnsi="仿宋" w:eastAsia="仿宋" w:cs="宋体"/>
                <w:color w:val="auto"/>
                <w:kern w:val="0"/>
                <w:sz w:val="20"/>
                <w:szCs w:val="21"/>
                <w:highlight w:val="none"/>
              </w:rPr>
            </w:pPr>
          </w:p>
        </w:tc>
        <w:tc>
          <w:tcPr>
            <w:tcW w:w="616" w:type="dxa"/>
            <w:vAlign w:val="center"/>
          </w:tcPr>
          <w:p w14:paraId="4A5AB75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w:t>
            </w:r>
          </w:p>
        </w:tc>
        <w:tc>
          <w:tcPr>
            <w:tcW w:w="5915" w:type="dxa"/>
            <w:gridSpan w:val="2"/>
            <w:vAlign w:val="center"/>
          </w:tcPr>
          <w:p w14:paraId="6127F5F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钢筋原材料未经检验合格使用的</w:t>
            </w:r>
          </w:p>
        </w:tc>
        <w:tc>
          <w:tcPr>
            <w:tcW w:w="1603" w:type="dxa"/>
            <w:gridSpan w:val="2"/>
            <w:vAlign w:val="center"/>
          </w:tcPr>
          <w:p w14:paraId="3E7A873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E220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restart"/>
            <w:vAlign w:val="center"/>
          </w:tcPr>
          <w:p w14:paraId="641F90D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模板工程</w:t>
            </w:r>
          </w:p>
        </w:tc>
        <w:tc>
          <w:tcPr>
            <w:tcW w:w="616" w:type="dxa"/>
            <w:vAlign w:val="center"/>
          </w:tcPr>
          <w:p w14:paraId="18184F5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w:t>
            </w:r>
          </w:p>
        </w:tc>
        <w:tc>
          <w:tcPr>
            <w:tcW w:w="5915" w:type="dxa"/>
            <w:gridSpan w:val="2"/>
            <w:vAlign w:val="center"/>
          </w:tcPr>
          <w:p w14:paraId="3322DDF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模板拆除未经监理审批，未依规定时间拆模</w:t>
            </w:r>
          </w:p>
        </w:tc>
        <w:tc>
          <w:tcPr>
            <w:tcW w:w="1603" w:type="dxa"/>
            <w:gridSpan w:val="2"/>
            <w:vAlign w:val="center"/>
          </w:tcPr>
          <w:p w14:paraId="3493B76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100元/处</w:t>
            </w:r>
          </w:p>
        </w:tc>
      </w:tr>
      <w:tr w14:paraId="1140D1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10D452C4">
            <w:pPr>
              <w:spacing w:line="400" w:lineRule="exact"/>
              <w:rPr>
                <w:rFonts w:ascii="仿宋" w:hAnsi="仿宋" w:eastAsia="仿宋" w:cs="宋体"/>
                <w:color w:val="auto"/>
                <w:kern w:val="0"/>
                <w:sz w:val="20"/>
                <w:szCs w:val="21"/>
                <w:highlight w:val="none"/>
              </w:rPr>
            </w:pPr>
          </w:p>
        </w:tc>
        <w:tc>
          <w:tcPr>
            <w:tcW w:w="616" w:type="dxa"/>
            <w:vAlign w:val="center"/>
          </w:tcPr>
          <w:p w14:paraId="5EB2925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w:t>
            </w:r>
          </w:p>
        </w:tc>
        <w:tc>
          <w:tcPr>
            <w:tcW w:w="5915" w:type="dxa"/>
            <w:gridSpan w:val="2"/>
            <w:vAlign w:val="center"/>
          </w:tcPr>
          <w:p w14:paraId="6EF90AD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爆模面积达1m2以上</w:t>
            </w:r>
          </w:p>
        </w:tc>
        <w:tc>
          <w:tcPr>
            <w:tcW w:w="1603" w:type="dxa"/>
            <w:gridSpan w:val="2"/>
            <w:vAlign w:val="center"/>
          </w:tcPr>
          <w:p w14:paraId="53D7661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74CDE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729D45F4">
            <w:pPr>
              <w:spacing w:line="400" w:lineRule="exact"/>
              <w:rPr>
                <w:rFonts w:ascii="仿宋" w:hAnsi="仿宋" w:eastAsia="仿宋" w:cs="宋体"/>
                <w:color w:val="auto"/>
                <w:kern w:val="0"/>
                <w:sz w:val="20"/>
                <w:szCs w:val="21"/>
                <w:highlight w:val="none"/>
              </w:rPr>
            </w:pPr>
          </w:p>
        </w:tc>
        <w:tc>
          <w:tcPr>
            <w:tcW w:w="616" w:type="dxa"/>
            <w:vAlign w:val="center"/>
          </w:tcPr>
          <w:p w14:paraId="753B9FF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w:t>
            </w:r>
          </w:p>
        </w:tc>
        <w:tc>
          <w:tcPr>
            <w:tcW w:w="5915" w:type="dxa"/>
            <w:gridSpan w:val="2"/>
            <w:vAlign w:val="center"/>
          </w:tcPr>
          <w:p w14:paraId="2A773F0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模板施工无方案或方案未经审批</w:t>
            </w:r>
          </w:p>
        </w:tc>
        <w:tc>
          <w:tcPr>
            <w:tcW w:w="1603" w:type="dxa"/>
            <w:gridSpan w:val="2"/>
            <w:vAlign w:val="center"/>
          </w:tcPr>
          <w:p w14:paraId="2727BD4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564C4F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7FF3D3B9">
            <w:pPr>
              <w:spacing w:line="400" w:lineRule="exact"/>
              <w:rPr>
                <w:rFonts w:ascii="仿宋" w:hAnsi="仿宋" w:eastAsia="仿宋" w:cs="宋体"/>
                <w:color w:val="auto"/>
                <w:kern w:val="0"/>
                <w:sz w:val="20"/>
                <w:szCs w:val="21"/>
                <w:highlight w:val="none"/>
              </w:rPr>
            </w:pPr>
          </w:p>
        </w:tc>
        <w:tc>
          <w:tcPr>
            <w:tcW w:w="616" w:type="dxa"/>
            <w:vAlign w:val="center"/>
          </w:tcPr>
          <w:p w14:paraId="2BED3AD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w:t>
            </w:r>
          </w:p>
        </w:tc>
        <w:tc>
          <w:tcPr>
            <w:tcW w:w="5915" w:type="dxa"/>
            <w:gridSpan w:val="2"/>
            <w:vAlign w:val="center"/>
          </w:tcPr>
          <w:p w14:paraId="70B4657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模板未按设计或规范规定起拱的</w:t>
            </w:r>
          </w:p>
        </w:tc>
        <w:tc>
          <w:tcPr>
            <w:tcW w:w="1603" w:type="dxa"/>
            <w:gridSpan w:val="2"/>
            <w:vAlign w:val="center"/>
          </w:tcPr>
          <w:p w14:paraId="5152662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8A86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18FD0F6F">
            <w:pPr>
              <w:spacing w:line="400" w:lineRule="exact"/>
              <w:rPr>
                <w:rFonts w:ascii="仿宋" w:hAnsi="仿宋" w:eastAsia="仿宋" w:cs="宋体"/>
                <w:color w:val="auto"/>
                <w:kern w:val="0"/>
                <w:sz w:val="20"/>
                <w:szCs w:val="21"/>
                <w:highlight w:val="none"/>
              </w:rPr>
            </w:pPr>
          </w:p>
        </w:tc>
        <w:tc>
          <w:tcPr>
            <w:tcW w:w="616" w:type="dxa"/>
            <w:vAlign w:val="center"/>
          </w:tcPr>
          <w:p w14:paraId="17D9A3D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w:t>
            </w:r>
          </w:p>
        </w:tc>
        <w:tc>
          <w:tcPr>
            <w:tcW w:w="5915" w:type="dxa"/>
            <w:gridSpan w:val="2"/>
            <w:vAlign w:val="center"/>
          </w:tcPr>
          <w:p w14:paraId="1A6EEC8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模板破旧的、起皮还在使用的未更换</w:t>
            </w:r>
          </w:p>
        </w:tc>
        <w:tc>
          <w:tcPr>
            <w:tcW w:w="1603" w:type="dxa"/>
            <w:gridSpan w:val="2"/>
            <w:vAlign w:val="center"/>
          </w:tcPr>
          <w:p w14:paraId="6B99511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10BE0D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31382789">
            <w:pPr>
              <w:spacing w:line="400" w:lineRule="exact"/>
              <w:rPr>
                <w:rFonts w:ascii="仿宋" w:hAnsi="仿宋" w:eastAsia="仿宋" w:cs="宋体"/>
                <w:color w:val="auto"/>
                <w:kern w:val="0"/>
                <w:sz w:val="20"/>
                <w:szCs w:val="21"/>
                <w:highlight w:val="none"/>
              </w:rPr>
            </w:pPr>
          </w:p>
        </w:tc>
        <w:tc>
          <w:tcPr>
            <w:tcW w:w="616" w:type="dxa"/>
            <w:vAlign w:val="center"/>
          </w:tcPr>
          <w:p w14:paraId="7F1FED8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w:t>
            </w:r>
          </w:p>
        </w:tc>
        <w:tc>
          <w:tcPr>
            <w:tcW w:w="5915" w:type="dxa"/>
            <w:gridSpan w:val="2"/>
            <w:vAlign w:val="center"/>
          </w:tcPr>
          <w:p w14:paraId="0C4E142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模板接缝宽度、接缝平整、表面平整超过规范规定的</w:t>
            </w:r>
          </w:p>
        </w:tc>
        <w:tc>
          <w:tcPr>
            <w:tcW w:w="1603" w:type="dxa"/>
            <w:gridSpan w:val="2"/>
            <w:vAlign w:val="center"/>
          </w:tcPr>
          <w:p w14:paraId="2E7C249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41AD89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0E4F359E">
            <w:pPr>
              <w:spacing w:line="400" w:lineRule="exact"/>
              <w:rPr>
                <w:rFonts w:ascii="仿宋" w:hAnsi="仿宋" w:eastAsia="仿宋" w:cs="宋体"/>
                <w:color w:val="auto"/>
                <w:kern w:val="0"/>
                <w:sz w:val="20"/>
                <w:szCs w:val="21"/>
                <w:highlight w:val="none"/>
              </w:rPr>
            </w:pPr>
          </w:p>
        </w:tc>
        <w:tc>
          <w:tcPr>
            <w:tcW w:w="616" w:type="dxa"/>
            <w:vAlign w:val="center"/>
          </w:tcPr>
          <w:p w14:paraId="66CC63D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w:t>
            </w:r>
          </w:p>
        </w:tc>
        <w:tc>
          <w:tcPr>
            <w:tcW w:w="5915" w:type="dxa"/>
            <w:gridSpan w:val="2"/>
            <w:vAlign w:val="center"/>
          </w:tcPr>
          <w:p w14:paraId="243A242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模板断面尺寸超过规范规定的</w:t>
            </w:r>
          </w:p>
        </w:tc>
        <w:tc>
          <w:tcPr>
            <w:tcW w:w="1603" w:type="dxa"/>
            <w:gridSpan w:val="2"/>
            <w:vAlign w:val="center"/>
          </w:tcPr>
          <w:p w14:paraId="045AA88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063DB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05B29395">
            <w:pPr>
              <w:spacing w:line="400" w:lineRule="exact"/>
              <w:rPr>
                <w:rFonts w:ascii="仿宋" w:hAnsi="仿宋" w:eastAsia="仿宋" w:cs="宋体"/>
                <w:color w:val="auto"/>
                <w:kern w:val="0"/>
                <w:sz w:val="20"/>
                <w:szCs w:val="21"/>
                <w:highlight w:val="none"/>
              </w:rPr>
            </w:pPr>
          </w:p>
        </w:tc>
        <w:tc>
          <w:tcPr>
            <w:tcW w:w="616" w:type="dxa"/>
            <w:vAlign w:val="center"/>
          </w:tcPr>
          <w:p w14:paraId="150A51F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w:t>
            </w:r>
          </w:p>
        </w:tc>
        <w:tc>
          <w:tcPr>
            <w:tcW w:w="5915" w:type="dxa"/>
            <w:gridSpan w:val="2"/>
            <w:vAlign w:val="center"/>
          </w:tcPr>
          <w:p w14:paraId="55AE7BD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楼板垂直度偏差过规规范规定的</w:t>
            </w:r>
          </w:p>
        </w:tc>
        <w:tc>
          <w:tcPr>
            <w:tcW w:w="1603" w:type="dxa"/>
            <w:gridSpan w:val="2"/>
            <w:vAlign w:val="center"/>
          </w:tcPr>
          <w:p w14:paraId="09B6B03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62BA7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restart"/>
            <w:vAlign w:val="center"/>
          </w:tcPr>
          <w:p w14:paraId="5EFBD41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混凝土工程</w:t>
            </w:r>
          </w:p>
        </w:tc>
        <w:tc>
          <w:tcPr>
            <w:tcW w:w="616" w:type="dxa"/>
            <w:vAlign w:val="center"/>
          </w:tcPr>
          <w:p w14:paraId="4D96F91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w:t>
            </w:r>
          </w:p>
        </w:tc>
        <w:tc>
          <w:tcPr>
            <w:tcW w:w="5915" w:type="dxa"/>
            <w:gridSpan w:val="2"/>
            <w:vAlign w:val="center"/>
          </w:tcPr>
          <w:p w14:paraId="6B39393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 xml:space="preserve">工程出现烂根的：烂根以米为单位，高度≤5cm，按200元米进行处罚：高度&gt;5cm，按300元/米进行处罚。                                                                                                                                                                                                                                                                                                                                                                                                                                                                                                                                                                                                                                                                                                                                                                                                                                                                                                                                                                                                                                                                                                                                                                                                                                                                                                                                                                                                                                                                                                                                                                                                                                                                                                                                                                                                                                                                                                                                                                                                                                                                                                                                                                                                                                                                                                                                                                                                                                                                                                                                                                                                                                                                                                                                                                                                                                                                                                                                                                                                                                                                                                                                                                                                                                                                                                                                                                                                                                                                                                                                                                                                                                                                                                                                                                                                                                                                                                                                                                                                                                                                                                                                                           </w:t>
            </w:r>
            <w:r>
              <w:rPr>
                <w:rFonts w:hint="eastAsia" w:ascii="仿宋" w:hAnsi="仿宋" w:eastAsia="仿宋" w:cs="宋体"/>
                <w:color w:val="auto"/>
                <w:kern w:val="0"/>
                <w:sz w:val="20"/>
                <w:szCs w:val="21"/>
                <w:highlight w:val="none"/>
              </w:rPr>
              <w:t xml:space="preserve">                                                                                                                                                                                                                                                                                                                                                                                                                                                                                                                                                                                                                                                                                                                                                                                                                                                                                                                                                                                                                                                                                                                                                                                                                                                                                                                                                                                                                                                                                                                                                                                                                                                                                                                                                                                                                                                                                                                                                                                                                                                                                                                                                                                                                                                                                                                                                                                                                                                                                                                                                                                                                                                                                                                                                                                                                                                                                                                                                                                                                                                                                                                                                                                                                                                                                                                                                                                                                                                                                                                                                                                                                                                                                                                                                                                                                                                                                                                                                                                                                                                                                                                                                                                                                </w:t>
            </w:r>
            <w:r>
              <w:rPr>
                <w:rFonts w:hint="eastAsia" w:ascii="仿宋" w:hAnsi="仿宋" w:eastAsia="仿宋" w:cs="宋体"/>
                <w:color w:val="auto"/>
                <w:kern w:val="0"/>
                <w:sz w:val="20"/>
                <w:szCs w:val="21"/>
                <w:highlight w:val="none"/>
              </w:rPr>
              <w:t xml:space="preserve">                                                                                                                                                                                                                                                                                                                                                                                                                                                                                                                                                                                                                                                                                                                                                                                                                                                                                                                                                                                                                                                                                                                                                                                                                                                                                                                                                                                                                                                                                                                                                                                                                                                                                                                                                                                                                                                                                                                                                                                                                                                                                                                                                                                                                                                                                                                                                                                                                                                                                                                                                                                                                                                                                                                                                                                                                                                                                                                                                                                                                                                                                                                                                                                                                                                                                                                                                                                                                                                                                                                                                                                                                                                                                                                                                                                                                                                                                                                                                                                                                                                                                                                                                                                                                </w:t>
            </w:r>
            <w:r>
              <w:rPr>
                <w:rFonts w:hint="eastAsia" w:ascii="仿宋" w:hAnsi="仿宋" w:eastAsia="仿宋" w:cs="宋体"/>
                <w:color w:val="auto"/>
                <w:kern w:val="0"/>
                <w:sz w:val="20"/>
                <w:szCs w:val="21"/>
                <w:highlight w:val="none"/>
              </w:rPr>
              <w:t xml:space="preserve">                                                                                                                                                                                                                                                                                                                                                                                                                                                                                    </w:t>
            </w:r>
          </w:p>
        </w:tc>
        <w:tc>
          <w:tcPr>
            <w:tcW w:w="1603" w:type="dxa"/>
            <w:gridSpan w:val="2"/>
            <w:vAlign w:val="center"/>
          </w:tcPr>
          <w:p w14:paraId="7D2113D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2F140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2C6DD3DE">
            <w:pPr>
              <w:spacing w:line="400" w:lineRule="exact"/>
              <w:rPr>
                <w:rFonts w:ascii="仿宋" w:hAnsi="仿宋" w:eastAsia="仿宋" w:cs="宋体"/>
                <w:color w:val="auto"/>
                <w:kern w:val="0"/>
                <w:sz w:val="20"/>
                <w:szCs w:val="21"/>
                <w:highlight w:val="none"/>
              </w:rPr>
            </w:pPr>
          </w:p>
        </w:tc>
        <w:tc>
          <w:tcPr>
            <w:tcW w:w="616" w:type="dxa"/>
            <w:vAlign w:val="center"/>
          </w:tcPr>
          <w:p w14:paraId="3691D9F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21</w:t>
            </w:r>
          </w:p>
        </w:tc>
        <w:tc>
          <w:tcPr>
            <w:tcW w:w="7518" w:type="dxa"/>
            <w:gridSpan w:val="4"/>
            <w:vAlign w:val="center"/>
          </w:tcPr>
          <w:p w14:paraId="4978D59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构件出现麻面的：面积</w:t>
            </w:r>
            <w:r>
              <w:rPr>
                <w:rFonts w:ascii="仿宋" w:hAnsi="仿宋" w:eastAsia="仿宋" w:cs="Arial"/>
                <w:color w:val="auto"/>
                <w:kern w:val="0"/>
                <w:sz w:val="19"/>
                <w:szCs w:val="19"/>
                <w:highlight w:val="none"/>
                <w:shd w:val="clear" w:color="auto" w:fill="FFFFFF"/>
              </w:rPr>
              <w:t>≤</w:t>
            </w:r>
            <w:r>
              <w:rPr>
                <w:rFonts w:hint="eastAsia" w:ascii="仿宋" w:hAnsi="仿宋" w:eastAsia="仿宋" w:cs="宋体"/>
                <w:color w:val="auto"/>
                <w:kern w:val="0"/>
                <w:sz w:val="20"/>
                <w:szCs w:val="21"/>
                <w:highlight w:val="none"/>
              </w:rPr>
              <w:t>20㎡按200元/处罚，&gt;20c㎡按300元/处进行处罚：构件主要受力部位凡出现蜂窝的：面积</w:t>
            </w:r>
            <w:r>
              <w:rPr>
                <w:rFonts w:ascii="仿宋" w:hAnsi="仿宋" w:eastAsia="仿宋" w:cs="Arial"/>
                <w:color w:val="auto"/>
                <w:kern w:val="0"/>
                <w:sz w:val="19"/>
                <w:szCs w:val="19"/>
                <w:highlight w:val="none"/>
                <w:shd w:val="clear" w:color="auto" w:fill="FFFFFF"/>
              </w:rPr>
              <w:t>≤</w:t>
            </w:r>
            <w:r>
              <w:rPr>
                <w:rFonts w:hint="eastAsia" w:ascii="仿宋" w:hAnsi="仿宋" w:eastAsia="仿宋" w:cs="宋体"/>
                <w:color w:val="auto"/>
                <w:kern w:val="0"/>
                <w:sz w:val="20"/>
                <w:szCs w:val="21"/>
                <w:highlight w:val="none"/>
              </w:rPr>
              <w:t>20c</w:t>
            </w:r>
            <w:r>
              <w:rPr>
                <w:rFonts w:ascii="仿宋" w:hAnsi="仿宋" w:eastAsia="仿宋" w:cs="Arial"/>
                <w:color w:val="auto"/>
                <w:kern w:val="0"/>
                <w:sz w:val="19"/>
                <w:szCs w:val="19"/>
                <w:highlight w:val="none"/>
                <w:shd w:val="clear" w:color="auto" w:fill="FFFFFF"/>
              </w:rPr>
              <w:t>㎡</w:t>
            </w:r>
            <w:r>
              <w:rPr>
                <w:rFonts w:hint="eastAsia" w:ascii="仿宋" w:hAnsi="仿宋" w:eastAsia="仿宋" w:cs="宋体"/>
                <w:color w:val="auto"/>
                <w:kern w:val="0"/>
                <w:sz w:val="20"/>
                <w:szCs w:val="21"/>
                <w:highlight w:val="none"/>
              </w:rPr>
              <w:t>按300元/处罚，&gt;20c</w:t>
            </w:r>
            <w:r>
              <w:rPr>
                <w:rFonts w:ascii="仿宋" w:hAnsi="仿宋" w:eastAsia="仿宋" w:cs="Arial"/>
                <w:color w:val="auto"/>
                <w:kern w:val="0"/>
                <w:sz w:val="19"/>
                <w:szCs w:val="19"/>
                <w:highlight w:val="none"/>
                <w:shd w:val="clear" w:color="auto" w:fill="FFFFFF"/>
              </w:rPr>
              <w:t>㎡</w:t>
            </w:r>
            <w:r>
              <w:rPr>
                <w:rFonts w:hint="eastAsia" w:ascii="仿宋" w:hAnsi="仿宋" w:eastAsia="仿宋" w:cs="宋体"/>
                <w:color w:val="auto"/>
                <w:kern w:val="0"/>
                <w:sz w:val="20"/>
                <w:szCs w:val="21"/>
                <w:highlight w:val="none"/>
              </w:rPr>
              <w:t>按400元/处进行处罚。其他构件出现蜂窝的面积</w:t>
            </w:r>
            <w:r>
              <w:rPr>
                <w:rFonts w:ascii="仿宋" w:hAnsi="仿宋" w:eastAsia="仿宋" w:cs="Arial"/>
                <w:color w:val="auto"/>
                <w:kern w:val="0"/>
                <w:sz w:val="19"/>
                <w:szCs w:val="19"/>
                <w:highlight w:val="none"/>
                <w:shd w:val="clear" w:color="auto" w:fill="FFFFFF"/>
              </w:rPr>
              <w:t>≤</w:t>
            </w:r>
            <w:r>
              <w:rPr>
                <w:rFonts w:hint="eastAsia" w:ascii="仿宋" w:hAnsi="仿宋" w:eastAsia="仿宋" w:cs="宋体"/>
                <w:color w:val="auto"/>
                <w:kern w:val="0"/>
                <w:sz w:val="20"/>
                <w:szCs w:val="21"/>
                <w:highlight w:val="none"/>
              </w:rPr>
              <w:t>20c</w:t>
            </w:r>
            <w:r>
              <w:rPr>
                <w:rFonts w:ascii="仿宋" w:hAnsi="仿宋" w:eastAsia="仿宋" w:cs="Arial"/>
                <w:color w:val="auto"/>
                <w:kern w:val="0"/>
                <w:sz w:val="19"/>
                <w:szCs w:val="19"/>
                <w:highlight w:val="none"/>
                <w:shd w:val="clear" w:color="auto" w:fill="FFFFFF"/>
              </w:rPr>
              <w:t>㎡</w:t>
            </w:r>
            <w:r>
              <w:rPr>
                <w:rFonts w:hint="eastAsia" w:ascii="仿宋" w:hAnsi="仿宋" w:eastAsia="仿宋" w:cs="宋体"/>
                <w:color w:val="auto"/>
                <w:kern w:val="0"/>
                <w:sz w:val="20"/>
                <w:szCs w:val="21"/>
                <w:highlight w:val="none"/>
              </w:rPr>
              <w:t>按200元处/进行处罚,</w:t>
            </w:r>
            <w:r>
              <w:rPr>
                <w:rFonts w:ascii="仿宋" w:hAnsi="仿宋" w:eastAsia="仿宋" w:cs="Arial"/>
                <w:color w:val="auto"/>
                <w:kern w:val="0"/>
                <w:sz w:val="19"/>
                <w:szCs w:val="19"/>
                <w:highlight w:val="none"/>
                <w:shd w:val="clear" w:color="auto" w:fill="FFFFFF"/>
              </w:rPr>
              <w:t>≥</w:t>
            </w:r>
            <w:r>
              <w:rPr>
                <w:rFonts w:hint="eastAsia" w:ascii="仿宋" w:hAnsi="仿宋" w:eastAsia="仿宋" w:cs="宋体"/>
                <w:color w:val="auto"/>
                <w:kern w:val="0"/>
                <w:sz w:val="20"/>
                <w:szCs w:val="21"/>
                <w:highlight w:val="none"/>
              </w:rPr>
              <w:t>20c</w:t>
            </w:r>
            <w:r>
              <w:rPr>
                <w:rFonts w:ascii="仿宋" w:hAnsi="仿宋" w:eastAsia="仿宋" w:cs="Arial"/>
                <w:color w:val="auto"/>
                <w:kern w:val="0"/>
                <w:sz w:val="19"/>
                <w:szCs w:val="19"/>
                <w:highlight w:val="none"/>
                <w:shd w:val="clear" w:color="auto" w:fill="FFFFFF"/>
              </w:rPr>
              <w:t>㎡</w:t>
            </w:r>
            <w:r>
              <w:rPr>
                <w:rFonts w:hint="eastAsia" w:ascii="仿宋" w:hAnsi="仿宋" w:eastAsia="仿宋" w:cs="宋体"/>
                <w:color w:val="auto"/>
                <w:kern w:val="0"/>
                <w:sz w:val="20"/>
                <w:szCs w:val="21"/>
                <w:highlight w:val="none"/>
              </w:rPr>
              <w:t>按300元/处进行处罚纵向受力钢筋有露筋的：按200元/根进行处罚，其他钢筋有露筋的按100元/根进行处罚</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w:t>
            </w:r>
          </w:p>
        </w:tc>
      </w:tr>
      <w:tr w14:paraId="269AE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16E624C3">
            <w:pPr>
              <w:spacing w:line="400" w:lineRule="exact"/>
              <w:rPr>
                <w:rFonts w:ascii="仿宋" w:hAnsi="仿宋" w:eastAsia="仿宋" w:cs="宋体"/>
                <w:color w:val="auto"/>
                <w:kern w:val="0"/>
                <w:sz w:val="20"/>
                <w:szCs w:val="21"/>
                <w:highlight w:val="none"/>
              </w:rPr>
            </w:pPr>
          </w:p>
        </w:tc>
        <w:tc>
          <w:tcPr>
            <w:tcW w:w="616" w:type="dxa"/>
            <w:vAlign w:val="center"/>
          </w:tcPr>
          <w:p w14:paraId="095345A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22</w:t>
            </w:r>
          </w:p>
        </w:tc>
        <w:tc>
          <w:tcPr>
            <w:tcW w:w="7518" w:type="dxa"/>
            <w:gridSpan w:val="4"/>
            <w:vAlign w:val="center"/>
          </w:tcPr>
          <w:p w14:paraId="73F2C1C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构件主要受力部位出现孔洞的：按200元/处进行处罚</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，其他部位出现孔洞按100元/处进行处罚</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w:t>
            </w:r>
          </w:p>
        </w:tc>
      </w:tr>
      <w:tr w14:paraId="676ABC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4D508619">
            <w:pPr>
              <w:spacing w:line="400" w:lineRule="exact"/>
              <w:rPr>
                <w:rFonts w:ascii="仿宋" w:hAnsi="仿宋" w:eastAsia="仿宋" w:cs="宋体"/>
                <w:color w:val="auto"/>
                <w:kern w:val="0"/>
                <w:sz w:val="20"/>
                <w:szCs w:val="21"/>
                <w:highlight w:val="none"/>
              </w:rPr>
            </w:pPr>
          </w:p>
        </w:tc>
        <w:tc>
          <w:tcPr>
            <w:tcW w:w="616" w:type="dxa"/>
            <w:vAlign w:val="center"/>
          </w:tcPr>
          <w:p w14:paraId="6CEC037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23</w:t>
            </w:r>
          </w:p>
        </w:tc>
        <w:tc>
          <w:tcPr>
            <w:tcW w:w="7518" w:type="dxa"/>
            <w:gridSpan w:val="4"/>
            <w:vAlign w:val="center"/>
          </w:tcPr>
          <w:p w14:paraId="284F4EF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楼板厚度超过规范要求的，按500元/处进行处罚。</w:t>
            </w:r>
          </w:p>
        </w:tc>
      </w:tr>
      <w:tr w14:paraId="360F3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6A791EA4">
            <w:pPr>
              <w:spacing w:line="400" w:lineRule="exact"/>
              <w:rPr>
                <w:rFonts w:ascii="仿宋" w:hAnsi="仿宋" w:eastAsia="仿宋" w:cs="宋体"/>
                <w:color w:val="auto"/>
                <w:kern w:val="0"/>
                <w:sz w:val="20"/>
                <w:szCs w:val="21"/>
                <w:highlight w:val="none"/>
              </w:rPr>
            </w:pPr>
          </w:p>
        </w:tc>
        <w:tc>
          <w:tcPr>
            <w:tcW w:w="616" w:type="dxa"/>
            <w:vAlign w:val="center"/>
          </w:tcPr>
          <w:p w14:paraId="6F856B2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24</w:t>
            </w:r>
          </w:p>
        </w:tc>
        <w:tc>
          <w:tcPr>
            <w:tcW w:w="7518" w:type="dxa"/>
            <w:gridSpan w:val="4"/>
            <w:vAlign w:val="center"/>
          </w:tcPr>
          <w:p w14:paraId="726BF33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混凝土墙面垂直度、平整度、门窗洞口尺寸等不符合混凝土结构工程施工质量验收规范要求的，按500元/处进行处罚</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w:t>
            </w:r>
          </w:p>
        </w:tc>
      </w:tr>
      <w:tr w14:paraId="593CB7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6464A5FA">
            <w:pPr>
              <w:spacing w:line="400" w:lineRule="exact"/>
              <w:rPr>
                <w:rFonts w:ascii="仿宋" w:hAnsi="仿宋" w:eastAsia="仿宋" w:cs="宋体"/>
                <w:color w:val="auto"/>
                <w:kern w:val="0"/>
                <w:sz w:val="20"/>
                <w:szCs w:val="21"/>
                <w:highlight w:val="none"/>
              </w:rPr>
            </w:pPr>
          </w:p>
        </w:tc>
        <w:tc>
          <w:tcPr>
            <w:tcW w:w="616" w:type="dxa"/>
            <w:vAlign w:val="center"/>
          </w:tcPr>
          <w:p w14:paraId="018091B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25</w:t>
            </w:r>
          </w:p>
        </w:tc>
        <w:tc>
          <w:tcPr>
            <w:tcW w:w="7518" w:type="dxa"/>
            <w:gridSpan w:val="4"/>
            <w:vAlign w:val="center"/>
          </w:tcPr>
          <w:p w14:paraId="1BEEEEA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涨模的：涨模面积≤2500c㎡，按200元/处进行处罚</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：&gt;2500c㎡且≤1㎡，按500元/处进行处罚</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，&gt;1㎡按1000元/处进行处罚</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w:t>
            </w:r>
          </w:p>
        </w:tc>
      </w:tr>
      <w:tr w14:paraId="71F95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24970D38">
            <w:pPr>
              <w:spacing w:line="400" w:lineRule="exact"/>
              <w:rPr>
                <w:rFonts w:ascii="仿宋" w:hAnsi="仿宋" w:eastAsia="仿宋" w:cs="宋体"/>
                <w:color w:val="auto"/>
                <w:kern w:val="0"/>
                <w:sz w:val="20"/>
                <w:szCs w:val="21"/>
                <w:highlight w:val="none"/>
              </w:rPr>
            </w:pPr>
          </w:p>
        </w:tc>
        <w:tc>
          <w:tcPr>
            <w:tcW w:w="616" w:type="dxa"/>
            <w:vAlign w:val="center"/>
          </w:tcPr>
          <w:p w14:paraId="16F8797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26</w:t>
            </w:r>
          </w:p>
        </w:tc>
        <w:tc>
          <w:tcPr>
            <w:tcW w:w="7518" w:type="dxa"/>
            <w:gridSpan w:val="4"/>
            <w:vAlign w:val="center"/>
          </w:tcPr>
          <w:p w14:paraId="25CF048F">
            <w:pPr>
              <w:spacing w:line="400" w:lineRule="exact"/>
              <w:rPr>
                <w:rFonts w:hint="eastAsia" w:ascii="仿宋" w:hAnsi="仿宋" w:eastAsia="仿宋" w:cs="宋体"/>
                <w:color w:val="auto"/>
                <w:kern w:val="0"/>
                <w:sz w:val="20"/>
                <w:szCs w:val="21"/>
                <w:highlight w:val="none"/>
                <w:lang w:val="en-US" w:eastAsia="zh-CN"/>
              </w:rPr>
            </w:pPr>
            <w:r>
              <w:rPr>
                <w:rFonts w:hint="eastAsia" w:ascii="仿宋" w:hAnsi="仿宋" w:eastAsia="仿宋" w:cs="宋体"/>
                <w:color w:val="auto"/>
                <w:kern w:val="0"/>
                <w:sz w:val="20"/>
                <w:szCs w:val="21"/>
                <w:highlight w:val="none"/>
              </w:rPr>
              <w:t>阳角漏浆：以长度为单位，&gt;3cm且≤50cm，按200元/处进行处罚</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，&gt;50cm按400元/处进行处罚</w:t>
            </w:r>
            <w:r>
              <w:rPr>
                <w:rFonts w:hint="eastAsia" w:ascii="仿宋" w:hAnsi="仿宋" w:eastAsia="仿宋" w:cs="宋体"/>
                <w:color w:val="auto"/>
                <w:kern w:val="0"/>
                <w:sz w:val="20"/>
                <w:szCs w:val="21"/>
                <w:highlight w:val="none"/>
                <w:lang w:val="en-US" w:eastAsia="zh-CN"/>
              </w:rPr>
              <w:t>违约金</w:t>
            </w:r>
          </w:p>
        </w:tc>
      </w:tr>
      <w:tr w14:paraId="6E2680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1BCD46D8">
            <w:pPr>
              <w:spacing w:line="400" w:lineRule="exact"/>
              <w:rPr>
                <w:rFonts w:ascii="仿宋" w:hAnsi="仿宋" w:eastAsia="仿宋" w:cs="宋体"/>
                <w:color w:val="auto"/>
                <w:kern w:val="0"/>
                <w:sz w:val="20"/>
                <w:szCs w:val="21"/>
                <w:highlight w:val="none"/>
              </w:rPr>
            </w:pPr>
          </w:p>
        </w:tc>
        <w:tc>
          <w:tcPr>
            <w:tcW w:w="616" w:type="dxa"/>
            <w:vAlign w:val="center"/>
          </w:tcPr>
          <w:p w14:paraId="4A06EF7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27</w:t>
            </w:r>
          </w:p>
        </w:tc>
        <w:tc>
          <w:tcPr>
            <w:tcW w:w="3812" w:type="dxa"/>
            <w:vAlign w:val="center"/>
          </w:tcPr>
          <w:p w14:paraId="4E8264B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接槎平整度&gt;5mm的</w:t>
            </w:r>
          </w:p>
        </w:tc>
        <w:tc>
          <w:tcPr>
            <w:tcW w:w="3706" w:type="dxa"/>
            <w:gridSpan w:val="3"/>
            <w:vAlign w:val="center"/>
          </w:tcPr>
          <w:p w14:paraId="189802F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1C170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699FB8D4">
            <w:pPr>
              <w:spacing w:line="400" w:lineRule="exact"/>
              <w:rPr>
                <w:rFonts w:ascii="仿宋" w:hAnsi="仿宋" w:eastAsia="仿宋" w:cs="宋体"/>
                <w:color w:val="auto"/>
                <w:kern w:val="0"/>
                <w:sz w:val="20"/>
                <w:szCs w:val="21"/>
                <w:highlight w:val="none"/>
              </w:rPr>
            </w:pPr>
          </w:p>
        </w:tc>
        <w:tc>
          <w:tcPr>
            <w:tcW w:w="616" w:type="dxa"/>
            <w:vAlign w:val="center"/>
          </w:tcPr>
          <w:p w14:paraId="130AF38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28</w:t>
            </w:r>
          </w:p>
        </w:tc>
        <w:tc>
          <w:tcPr>
            <w:tcW w:w="3812" w:type="dxa"/>
            <w:vAlign w:val="center"/>
          </w:tcPr>
          <w:p w14:paraId="0CE03B3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严格按照国标规定留置标养和同条件试块，对缺少留置及弄虚作假的</w:t>
            </w:r>
          </w:p>
        </w:tc>
        <w:tc>
          <w:tcPr>
            <w:tcW w:w="3706" w:type="dxa"/>
            <w:gridSpan w:val="3"/>
            <w:vAlign w:val="center"/>
          </w:tcPr>
          <w:p w14:paraId="2F0BB44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300元/组</w:t>
            </w:r>
          </w:p>
        </w:tc>
      </w:tr>
      <w:tr w14:paraId="1C611E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79962F12">
            <w:pPr>
              <w:spacing w:line="400" w:lineRule="exact"/>
              <w:rPr>
                <w:rFonts w:ascii="仿宋" w:hAnsi="仿宋" w:eastAsia="仿宋" w:cs="宋体"/>
                <w:color w:val="auto"/>
                <w:kern w:val="0"/>
                <w:sz w:val="20"/>
                <w:szCs w:val="21"/>
                <w:highlight w:val="none"/>
              </w:rPr>
            </w:pPr>
          </w:p>
        </w:tc>
        <w:tc>
          <w:tcPr>
            <w:tcW w:w="616" w:type="dxa"/>
            <w:vAlign w:val="center"/>
          </w:tcPr>
          <w:p w14:paraId="2CD387D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29</w:t>
            </w:r>
          </w:p>
        </w:tc>
        <w:tc>
          <w:tcPr>
            <w:tcW w:w="7518" w:type="dxa"/>
            <w:gridSpan w:val="4"/>
            <w:vAlign w:val="center"/>
          </w:tcPr>
          <w:p w14:paraId="0924FAA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每车必须检查塌落度，不合格的该车混凝应当退场并且不得使用，否则</w:t>
            </w:r>
            <w:r>
              <w:rPr>
                <w:rFonts w:hint="eastAsia" w:ascii="仿宋" w:hAnsi="仿宋" w:eastAsia="仿宋" w:cs="宋体"/>
                <w:color w:val="auto"/>
                <w:kern w:val="0"/>
                <w:sz w:val="20"/>
                <w:szCs w:val="21"/>
                <w:highlight w:val="none"/>
                <w:lang w:val="en-US" w:eastAsia="zh-CN"/>
              </w:rPr>
              <w:t>承担</w:t>
            </w:r>
            <w:r>
              <w:rPr>
                <w:rFonts w:hint="eastAsia" w:ascii="仿宋" w:hAnsi="仿宋" w:eastAsia="仿宋" w:cs="宋体"/>
                <w:color w:val="auto"/>
                <w:kern w:val="0"/>
                <w:sz w:val="20"/>
                <w:szCs w:val="21"/>
                <w:highlight w:val="none"/>
              </w:rPr>
              <w:t>1000元次的</w:t>
            </w:r>
            <w:r>
              <w:rPr>
                <w:rFonts w:hint="eastAsia" w:ascii="仿宋" w:hAnsi="仿宋" w:eastAsia="仿宋" w:cs="宋体"/>
                <w:color w:val="auto"/>
                <w:kern w:val="0"/>
                <w:sz w:val="20"/>
                <w:szCs w:val="21"/>
                <w:highlight w:val="none"/>
                <w:lang w:val="en-US" w:eastAsia="zh-CN"/>
              </w:rPr>
              <w:t>违约金</w:t>
            </w:r>
          </w:p>
        </w:tc>
      </w:tr>
      <w:tr w14:paraId="2A28F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76F7A2D0">
            <w:pPr>
              <w:spacing w:line="400" w:lineRule="exact"/>
              <w:rPr>
                <w:rFonts w:ascii="仿宋" w:hAnsi="仿宋" w:eastAsia="仿宋" w:cs="宋体"/>
                <w:color w:val="auto"/>
                <w:kern w:val="0"/>
                <w:sz w:val="20"/>
                <w:szCs w:val="21"/>
                <w:highlight w:val="none"/>
              </w:rPr>
            </w:pPr>
          </w:p>
        </w:tc>
        <w:tc>
          <w:tcPr>
            <w:tcW w:w="616" w:type="dxa"/>
            <w:vAlign w:val="center"/>
          </w:tcPr>
          <w:p w14:paraId="7B81098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w:t>
            </w:r>
          </w:p>
        </w:tc>
        <w:tc>
          <w:tcPr>
            <w:tcW w:w="5971" w:type="dxa"/>
            <w:gridSpan w:val="3"/>
            <w:vAlign w:val="center"/>
          </w:tcPr>
          <w:p w14:paraId="6A44B5F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混凝土施工缝留置位置不符合规定的</w:t>
            </w:r>
          </w:p>
        </w:tc>
        <w:tc>
          <w:tcPr>
            <w:tcW w:w="1547" w:type="dxa"/>
            <w:vAlign w:val="center"/>
          </w:tcPr>
          <w:p w14:paraId="64CDA45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7FC7CF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1ED250B6">
            <w:pPr>
              <w:spacing w:line="400" w:lineRule="exact"/>
              <w:rPr>
                <w:rFonts w:ascii="仿宋" w:hAnsi="仿宋" w:eastAsia="仿宋" w:cs="宋体"/>
                <w:color w:val="auto"/>
                <w:kern w:val="0"/>
                <w:sz w:val="20"/>
                <w:szCs w:val="21"/>
                <w:highlight w:val="none"/>
              </w:rPr>
            </w:pPr>
          </w:p>
        </w:tc>
        <w:tc>
          <w:tcPr>
            <w:tcW w:w="616" w:type="dxa"/>
            <w:vAlign w:val="center"/>
          </w:tcPr>
          <w:p w14:paraId="48EBCC2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31</w:t>
            </w:r>
          </w:p>
        </w:tc>
        <w:tc>
          <w:tcPr>
            <w:tcW w:w="5971" w:type="dxa"/>
            <w:gridSpan w:val="3"/>
            <w:vAlign w:val="center"/>
          </w:tcPr>
          <w:p w14:paraId="2A9017E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楼板厚度不符合规范要求的，楼层净高不符合规范要求的</w:t>
            </w:r>
          </w:p>
        </w:tc>
        <w:tc>
          <w:tcPr>
            <w:tcW w:w="1547" w:type="dxa"/>
            <w:vAlign w:val="center"/>
          </w:tcPr>
          <w:p w14:paraId="775BB65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0673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299E3DA5">
            <w:pPr>
              <w:spacing w:line="400" w:lineRule="exact"/>
              <w:rPr>
                <w:rFonts w:ascii="仿宋" w:hAnsi="仿宋" w:eastAsia="仿宋" w:cs="宋体"/>
                <w:color w:val="auto"/>
                <w:kern w:val="0"/>
                <w:sz w:val="20"/>
                <w:szCs w:val="21"/>
                <w:highlight w:val="none"/>
              </w:rPr>
            </w:pPr>
          </w:p>
        </w:tc>
        <w:tc>
          <w:tcPr>
            <w:tcW w:w="616" w:type="dxa"/>
            <w:vAlign w:val="center"/>
          </w:tcPr>
          <w:p w14:paraId="15C3D2B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32</w:t>
            </w:r>
          </w:p>
        </w:tc>
        <w:tc>
          <w:tcPr>
            <w:tcW w:w="7518" w:type="dxa"/>
            <w:gridSpan w:val="4"/>
            <w:vAlign w:val="center"/>
          </w:tcPr>
          <w:p w14:paraId="0F37AFD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凝土浇筑前必须取得浇筑令，经监理和</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项目工程部同意后方可开盘浇筑，否则</w:t>
            </w:r>
            <w:r>
              <w:rPr>
                <w:rFonts w:hint="eastAsia" w:ascii="仿宋" w:hAnsi="仿宋" w:eastAsia="仿宋" w:cs="宋体"/>
                <w:color w:val="auto"/>
                <w:kern w:val="0"/>
                <w:sz w:val="20"/>
                <w:szCs w:val="21"/>
                <w:highlight w:val="none"/>
                <w:lang w:val="en-US" w:eastAsia="zh-CN"/>
              </w:rPr>
              <w:t>承担</w:t>
            </w:r>
            <w:r>
              <w:rPr>
                <w:rFonts w:hint="eastAsia" w:ascii="仿宋" w:hAnsi="仿宋" w:eastAsia="仿宋" w:cs="宋体"/>
                <w:color w:val="auto"/>
                <w:kern w:val="0"/>
                <w:sz w:val="20"/>
                <w:szCs w:val="21"/>
                <w:highlight w:val="none"/>
              </w:rPr>
              <w:t>5000元/次的</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w:t>
            </w:r>
          </w:p>
        </w:tc>
      </w:tr>
      <w:tr w14:paraId="4A24C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6FD49B24">
            <w:pPr>
              <w:spacing w:line="400" w:lineRule="exact"/>
              <w:rPr>
                <w:rFonts w:ascii="仿宋" w:hAnsi="仿宋" w:eastAsia="仿宋" w:cs="宋体"/>
                <w:color w:val="auto"/>
                <w:kern w:val="0"/>
                <w:sz w:val="20"/>
                <w:szCs w:val="21"/>
                <w:highlight w:val="none"/>
              </w:rPr>
            </w:pPr>
          </w:p>
        </w:tc>
        <w:tc>
          <w:tcPr>
            <w:tcW w:w="616" w:type="dxa"/>
            <w:vAlign w:val="center"/>
          </w:tcPr>
          <w:p w14:paraId="6521F62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33</w:t>
            </w:r>
          </w:p>
        </w:tc>
        <w:tc>
          <w:tcPr>
            <w:tcW w:w="5971" w:type="dxa"/>
            <w:gridSpan w:val="3"/>
            <w:vAlign w:val="center"/>
          </w:tcPr>
          <w:p w14:paraId="1ED4D3B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平台砼结构浇筑完成后，在终凝前，完成二次打抹，并随二次打抹度覆盖(如塑料薄膜、草袋等)，必须安排专人24小时进行浇水护，养护时间根据规定进行，气温超过摄氏30度以上时，在塑料薄上覆盖一层湿润的黑心棉。对于</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未安排专人进行养护，按每个砼浇筑部位对</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进行</w:t>
            </w:r>
            <w:r>
              <w:rPr>
                <w:rFonts w:hint="eastAsia" w:ascii="仿宋" w:hAnsi="仿宋" w:eastAsia="仿宋" w:cs="宋体"/>
                <w:color w:val="auto"/>
                <w:kern w:val="0"/>
                <w:sz w:val="20"/>
                <w:szCs w:val="21"/>
                <w:highlight w:val="none"/>
                <w:lang w:val="en-US" w:eastAsia="zh-CN"/>
              </w:rPr>
              <w:t>计罚</w:t>
            </w:r>
            <w:r>
              <w:rPr>
                <w:rFonts w:hint="eastAsia" w:ascii="仿宋" w:hAnsi="仿宋" w:eastAsia="仿宋" w:cs="宋体"/>
                <w:color w:val="auto"/>
                <w:kern w:val="0"/>
                <w:sz w:val="20"/>
                <w:szCs w:val="21"/>
                <w:highlight w:val="none"/>
                <w:lang w:val="en-US" w:eastAsia="zh-CN"/>
              </w:rPr>
              <w:t>违约金</w:t>
            </w:r>
            <w:r>
              <w:rPr>
                <w:rFonts w:hint="eastAsia" w:ascii="仿宋" w:hAnsi="仿宋" w:eastAsia="仿宋" w:cs="宋体"/>
                <w:color w:val="auto"/>
                <w:kern w:val="0"/>
                <w:sz w:val="20"/>
                <w:szCs w:val="21"/>
                <w:highlight w:val="none"/>
              </w:rPr>
              <w:t>。</w:t>
            </w:r>
          </w:p>
        </w:tc>
        <w:tc>
          <w:tcPr>
            <w:tcW w:w="1547" w:type="dxa"/>
            <w:vAlign w:val="center"/>
          </w:tcPr>
          <w:p w14:paraId="6897DA6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200元/处</w:t>
            </w:r>
          </w:p>
          <w:p w14:paraId="1648DC1A">
            <w:pPr>
              <w:spacing w:line="400" w:lineRule="exact"/>
              <w:jc w:val="center"/>
              <w:rPr>
                <w:rFonts w:ascii="仿宋" w:hAnsi="仿宋" w:eastAsia="仿宋" w:cs="宋体"/>
                <w:color w:val="auto"/>
                <w:kern w:val="0"/>
                <w:sz w:val="20"/>
                <w:szCs w:val="21"/>
                <w:highlight w:val="none"/>
              </w:rPr>
            </w:pPr>
          </w:p>
        </w:tc>
      </w:tr>
      <w:tr w14:paraId="59A1F1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494A38E3">
            <w:pPr>
              <w:spacing w:line="400" w:lineRule="exact"/>
              <w:rPr>
                <w:rFonts w:ascii="仿宋" w:hAnsi="仿宋" w:eastAsia="仿宋" w:cs="宋体"/>
                <w:color w:val="auto"/>
                <w:kern w:val="0"/>
                <w:sz w:val="20"/>
                <w:szCs w:val="21"/>
                <w:highlight w:val="none"/>
              </w:rPr>
            </w:pPr>
          </w:p>
        </w:tc>
        <w:tc>
          <w:tcPr>
            <w:tcW w:w="616" w:type="dxa"/>
            <w:vAlign w:val="center"/>
          </w:tcPr>
          <w:p w14:paraId="2308793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34</w:t>
            </w:r>
          </w:p>
        </w:tc>
        <w:tc>
          <w:tcPr>
            <w:tcW w:w="5971" w:type="dxa"/>
            <w:gridSpan w:val="3"/>
            <w:vAlign w:val="center"/>
          </w:tcPr>
          <w:p w14:paraId="12B904F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平台筑后，终凝前产禁上人，强度在1.2Mpa前不得堆放施工材料，大模板、大堆料具、材料严禁集中堆放</w:t>
            </w:r>
          </w:p>
        </w:tc>
        <w:tc>
          <w:tcPr>
            <w:tcW w:w="1547" w:type="dxa"/>
            <w:vAlign w:val="center"/>
          </w:tcPr>
          <w:p w14:paraId="619185F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140DD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6" w:type="dxa"/>
            <w:vMerge w:val="continue"/>
            <w:vAlign w:val="center"/>
          </w:tcPr>
          <w:p w14:paraId="32CFF7E8">
            <w:pPr>
              <w:spacing w:line="400" w:lineRule="exact"/>
              <w:rPr>
                <w:rFonts w:ascii="仿宋" w:hAnsi="仿宋" w:eastAsia="仿宋" w:cs="宋体"/>
                <w:color w:val="auto"/>
                <w:kern w:val="0"/>
                <w:sz w:val="20"/>
                <w:szCs w:val="21"/>
                <w:highlight w:val="none"/>
              </w:rPr>
            </w:pPr>
          </w:p>
        </w:tc>
        <w:tc>
          <w:tcPr>
            <w:tcW w:w="616" w:type="dxa"/>
            <w:vAlign w:val="center"/>
          </w:tcPr>
          <w:p w14:paraId="2F08861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35</w:t>
            </w:r>
          </w:p>
        </w:tc>
        <w:tc>
          <w:tcPr>
            <w:tcW w:w="5971" w:type="dxa"/>
            <w:gridSpan w:val="3"/>
            <w:vAlign w:val="center"/>
          </w:tcPr>
          <w:p w14:paraId="7C8EA2F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上缺陷未经评价或处理方案未经批准私自处理的</w:t>
            </w:r>
          </w:p>
        </w:tc>
        <w:tc>
          <w:tcPr>
            <w:tcW w:w="1547" w:type="dxa"/>
            <w:vAlign w:val="center"/>
          </w:tcPr>
          <w:p w14:paraId="4E9552E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4B14DE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64ADEE6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粉刷</w:t>
            </w:r>
          </w:p>
          <w:p w14:paraId="5CC91EE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、砌体工程</w:t>
            </w:r>
          </w:p>
        </w:tc>
        <w:tc>
          <w:tcPr>
            <w:tcW w:w="616" w:type="dxa"/>
            <w:vAlign w:val="center"/>
          </w:tcPr>
          <w:p w14:paraId="5E24A50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36</w:t>
            </w:r>
          </w:p>
        </w:tc>
        <w:tc>
          <w:tcPr>
            <w:tcW w:w="5971" w:type="dxa"/>
            <w:gridSpan w:val="3"/>
            <w:vAlign w:val="center"/>
          </w:tcPr>
          <w:p w14:paraId="0ED58C4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施工时污染其它成品未清洁</w:t>
            </w:r>
          </w:p>
        </w:tc>
        <w:tc>
          <w:tcPr>
            <w:tcW w:w="1547" w:type="dxa"/>
            <w:vAlign w:val="center"/>
          </w:tcPr>
          <w:p w14:paraId="1A468AC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73EB30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CCE823A">
            <w:pPr>
              <w:spacing w:line="400" w:lineRule="exact"/>
              <w:rPr>
                <w:rFonts w:ascii="仿宋" w:hAnsi="仿宋" w:eastAsia="仿宋" w:cs="宋体"/>
                <w:color w:val="auto"/>
                <w:kern w:val="0"/>
                <w:sz w:val="20"/>
                <w:szCs w:val="21"/>
                <w:highlight w:val="none"/>
              </w:rPr>
            </w:pPr>
          </w:p>
        </w:tc>
        <w:tc>
          <w:tcPr>
            <w:tcW w:w="616" w:type="dxa"/>
            <w:vAlign w:val="center"/>
          </w:tcPr>
          <w:p w14:paraId="6C5101F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37</w:t>
            </w:r>
          </w:p>
        </w:tc>
        <w:tc>
          <w:tcPr>
            <w:tcW w:w="5971" w:type="dxa"/>
            <w:gridSpan w:val="3"/>
            <w:vAlign w:val="center"/>
          </w:tcPr>
          <w:p w14:paraId="01497B9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砌体工程施工无皮数杆、无门窗控制标高施工的</w:t>
            </w:r>
          </w:p>
        </w:tc>
        <w:tc>
          <w:tcPr>
            <w:tcW w:w="1547" w:type="dxa"/>
            <w:vAlign w:val="center"/>
          </w:tcPr>
          <w:p w14:paraId="613937F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4C889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B483AE6">
            <w:pPr>
              <w:spacing w:line="400" w:lineRule="exact"/>
              <w:rPr>
                <w:rFonts w:ascii="仿宋" w:hAnsi="仿宋" w:eastAsia="仿宋" w:cs="宋体"/>
                <w:color w:val="auto"/>
                <w:kern w:val="0"/>
                <w:sz w:val="20"/>
                <w:szCs w:val="21"/>
                <w:highlight w:val="none"/>
              </w:rPr>
            </w:pPr>
          </w:p>
        </w:tc>
        <w:tc>
          <w:tcPr>
            <w:tcW w:w="616" w:type="dxa"/>
            <w:vAlign w:val="center"/>
          </w:tcPr>
          <w:p w14:paraId="77B6275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38</w:t>
            </w:r>
          </w:p>
        </w:tc>
        <w:tc>
          <w:tcPr>
            <w:tcW w:w="5971" w:type="dxa"/>
            <w:gridSpan w:val="3"/>
            <w:vAlign w:val="center"/>
          </w:tcPr>
          <w:p w14:paraId="5C5772F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需要湿润的砖体未进行浇水湿润或浇水不够的</w:t>
            </w:r>
          </w:p>
        </w:tc>
        <w:tc>
          <w:tcPr>
            <w:tcW w:w="1547" w:type="dxa"/>
            <w:vAlign w:val="center"/>
          </w:tcPr>
          <w:p w14:paraId="2851A08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75C11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40DA3A0">
            <w:pPr>
              <w:spacing w:line="400" w:lineRule="exact"/>
              <w:rPr>
                <w:rFonts w:ascii="仿宋" w:hAnsi="仿宋" w:eastAsia="仿宋" w:cs="宋体"/>
                <w:color w:val="auto"/>
                <w:kern w:val="0"/>
                <w:sz w:val="20"/>
                <w:szCs w:val="21"/>
                <w:highlight w:val="none"/>
              </w:rPr>
            </w:pPr>
          </w:p>
        </w:tc>
        <w:tc>
          <w:tcPr>
            <w:tcW w:w="616" w:type="dxa"/>
            <w:vAlign w:val="center"/>
          </w:tcPr>
          <w:p w14:paraId="0628026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39</w:t>
            </w:r>
          </w:p>
        </w:tc>
        <w:tc>
          <w:tcPr>
            <w:tcW w:w="5971" w:type="dxa"/>
            <w:gridSpan w:val="3"/>
            <w:vAlign w:val="center"/>
          </w:tcPr>
          <w:p w14:paraId="61CCF85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未按设计或规范要求设置拉结筋或拉结筋设置不符合要求的</w:t>
            </w:r>
          </w:p>
        </w:tc>
        <w:tc>
          <w:tcPr>
            <w:tcW w:w="1547" w:type="dxa"/>
            <w:vAlign w:val="center"/>
          </w:tcPr>
          <w:p w14:paraId="5B6D3AF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261E1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E56FAE3">
            <w:pPr>
              <w:spacing w:line="400" w:lineRule="exact"/>
              <w:rPr>
                <w:rFonts w:ascii="仿宋" w:hAnsi="仿宋" w:eastAsia="仿宋" w:cs="宋体"/>
                <w:color w:val="auto"/>
                <w:kern w:val="0"/>
                <w:sz w:val="20"/>
                <w:szCs w:val="21"/>
                <w:highlight w:val="none"/>
              </w:rPr>
            </w:pPr>
          </w:p>
        </w:tc>
        <w:tc>
          <w:tcPr>
            <w:tcW w:w="616" w:type="dxa"/>
            <w:vAlign w:val="center"/>
          </w:tcPr>
          <w:p w14:paraId="48B84D4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40</w:t>
            </w:r>
          </w:p>
        </w:tc>
        <w:tc>
          <w:tcPr>
            <w:tcW w:w="5971" w:type="dxa"/>
            <w:gridSpan w:val="3"/>
            <w:vAlign w:val="center"/>
          </w:tcPr>
          <w:p w14:paraId="24C6D79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体砌体留槎位置不正确或留置方式不正确的</w:t>
            </w:r>
          </w:p>
        </w:tc>
        <w:tc>
          <w:tcPr>
            <w:tcW w:w="1547" w:type="dxa"/>
            <w:vAlign w:val="center"/>
          </w:tcPr>
          <w:p w14:paraId="1959CBE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166D6F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F2150EA">
            <w:pPr>
              <w:spacing w:line="400" w:lineRule="exact"/>
              <w:rPr>
                <w:rFonts w:ascii="仿宋" w:hAnsi="仿宋" w:eastAsia="仿宋" w:cs="宋体"/>
                <w:color w:val="auto"/>
                <w:kern w:val="0"/>
                <w:sz w:val="20"/>
                <w:szCs w:val="21"/>
                <w:highlight w:val="none"/>
              </w:rPr>
            </w:pPr>
          </w:p>
        </w:tc>
        <w:tc>
          <w:tcPr>
            <w:tcW w:w="616" w:type="dxa"/>
            <w:vAlign w:val="center"/>
          </w:tcPr>
          <w:p w14:paraId="2C6E1CE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41</w:t>
            </w:r>
          </w:p>
        </w:tc>
        <w:tc>
          <w:tcPr>
            <w:tcW w:w="5971" w:type="dxa"/>
            <w:gridSpan w:val="3"/>
            <w:vAlign w:val="center"/>
          </w:tcPr>
          <w:p w14:paraId="0667A7B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砌体组砌方式不正确的</w:t>
            </w:r>
          </w:p>
        </w:tc>
        <w:tc>
          <w:tcPr>
            <w:tcW w:w="1547" w:type="dxa"/>
            <w:vAlign w:val="center"/>
          </w:tcPr>
          <w:p w14:paraId="5727E57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006CF3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E29E2C4">
            <w:pPr>
              <w:spacing w:line="400" w:lineRule="exact"/>
              <w:rPr>
                <w:rFonts w:ascii="仿宋" w:hAnsi="仿宋" w:eastAsia="仿宋" w:cs="宋体"/>
                <w:color w:val="auto"/>
                <w:kern w:val="0"/>
                <w:sz w:val="20"/>
                <w:szCs w:val="21"/>
                <w:highlight w:val="none"/>
              </w:rPr>
            </w:pPr>
          </w:p>
        </w:tc>
        <w:tc>
          <w:tcPr>
            <w:tcW w:w="616" w:type="dxa"/>
            <w:vAlign w:val="center"/>
          </w:tcPr>
          <w:p w14:paraId="097781F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42</w:t>
            </w:r>
          </w:p>
        </w:tc>
        <w:tc>
          <w:tcPr>
            <w:tcW w:w="5971" w:type="dxa"/>
            <w:gridSpan w:val="3"/>
            <w:vAlign w:val="center"/>
          </w:tcPr>
          <w:p w14:paraId="4156F19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砌体施工前未做样板经确认的</w:t>
            </w:r>
          </w:p>
        </w:tc>
        <w:tc>
          <w:tcPr>
            <w:tcW w:w="1547" w:type="dxa"/>
            <w:vAlign w:val="center"/>
          </w:tcPr>
          <w:p w14:paraId="37AAC7A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10889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9E11ABD">
            <w:pPr>
              <w:spacing w:line="400" w:lineRule="exact"/>
              <w:rPr>
                <w:rFonts w:ascii="仿宋" w:hAnsi="仿宋" w:eastAsia="仿宋" w:cs="宋体"/>
                <w:color w:val="auto"/>
                <w:kern w:val="0"/>
                <w:sz w:val="20"/>
                <w:szCs w:val="21"/>
                <w:highlight w:val="none"/>
              </w:rPr>
            </w:pPr>
          </w:p>
        </w:tc>
        <w:tc>
          <w:tcPr>
            <w:tcW w:w="616" w:type="dxa"/>
            <w:vAlign w:val="center"/>
          </w:tcPr>
          <w:p w14:paraId="00E890E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43</w:t>
            </w:r>
          </w:p>
        </w:tc>
        <w:tc>
          <w:tcPr>
            <w:tcW w:w="5971" w:type="dxa"/>
            <w:gridSpan w:val="3"/>
            <w:vAlign w:val="center"/>
          </w:tcPr>
          <w:p w14:paraId="567396D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预制过梁搭接长度不符合规范或设计要求的</w:t>
            </w:r>
          </w:p>
        </w:tc>
        <w:tc>
          <w:tcPr>
            <w:tcW w:w="1547" w:type="dxa"/>
            <w:vAlign w:val="center"/>
          </w:tcPr>
          <w:p w14:paraId="12545CF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62F92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E7C4303">
            <w:pPr>
              <w:spacing w:line="400" w:lineRule="exact"/>
              <w:rPr>
                <w:rFonts w:ascii="仿宋" w:hAnsi="仿宋" w:eastAsia="仿宋" w:cs="宋体"/>
                <w:color w:val="auto"/>
                <w:kern w:val="0"/>
                <w:sz w:val="20"/>
                <w:szCs w:val="21"/>
                <w:highlight w:val="none"/>
              </w:rPr>
            </w:pPr>
          </w:p>
        </w:tc>
        <w:tc>
          <w:tcPr>
            <w:tcW w:w="616" w:type="dxa"/>
            <w:vAlign w:val="center"/>
          </w:tcPr>
          <w:p w14:paraId="6D7F358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44</w:t>
            </w:r>
          </w:p>
        </w:tc>
        <w:tc>
          <w:tcPr>
            <w:tcW w:w="5971" w:type="dxa"/>
            <w:gridSpan w:val="3"/>
            <w:vAlign w:val="center"/>
          </w:tcPr>
          <w:p w14:paraId="41B6FB1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预留洞口未按设计留设，事后敲打的</w:t>
            </w:r>
          </w:p>
        </w:tc>
        <w:tc>
          <w:tcPr>
            <w:tcW w:w="1547" w:type="dxa"/>
            <w:vAlign w:val="center"/>
          </w:tcPr>
          <w:p w14:paraId="24C53DF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90EA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CD703CD">
            <w:pPr>
              <w:spacing w:line="400" w:lineRule="exact"/>
              <w:rPr>
                <w:rFonts w:ascii="仿宋" w:hAnsi="仿宋" w:eastAsia="仿宋" w:cs="宋体"/>
                <w:color w:val="auto"/>
                <w:kern w:val="0"/>
                <w:sz w:val="20"/>
                <w:szCs w:val="21"/>
                <w:highlight w:val="none"/>
              </w:rPr>
            </w:pPr>
          </w:p>
        </w:tc>
        <w:tc>
          <w:tcPr>
            <w:tcW w:w="616" w:type="dxa"/>
            <w:vAlign w:val="center"/>
          </w:tcPr>
          <w:p w14:paraId="621E21C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45</w:t>
            </w:r>
          </w:p>
        </w:tc>
        <w:tc>
          <w:tcPr>
            <w:tcW w:w="5971" w:type="dxa"/>
            <w:gridSpan w:val="3"/>
            <w:vAlign w:val="center"/>
          </w:tcPr>
          <w:p w14:paraId="15AF5C9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构造柱留置方法不正确的</w:t>
            </w:r>
          </w:p>
        </w:tc>
        <w:tc>
          <w:tcPr>
            <w:tcW w:w="1547" w:type="dxa"/>
            <w:vAlign w:val="center"/>
          </w:tcPr>
          <w:p w14:paraId="0C5EC34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4E0029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E390A66">
            <w:pPr>
              <w:spacing w:line="400" w:lineRule="exact"/>
              <w:rPr>
                <w:rFonts w:ascii="仿宋" w:hAnsi="仿宋" w:eastAsia="仿宋" w:cs="宋体"/>
                <w:color w:val="auto"/>
                <w:kern w:val="0"/>
                <w:sz w:val="20"/>
                <w:szCs w:val="21"/>
                <w:highlight w:val="none"/>
              </w:rPr>
            </w:pPr>
          </w:p>
        </w:tc>
        <w:tc>
          <w:tcPr>
            <w:tcW w:w="616" w:type="dxa"/>
            <w:vAlign w:val="center"/>
          </w:tcPr>
          <w:p w14:paraId="2244B6D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46</w:t>
            </w:r>
          </w:p>
        </w:tc>
        <w:tc>
          <w:tcPr>
            <w:tcW w:w="5971" w:type="dxa"/>
            <w:gridSpan w:val="3"/>
            <w:vAlign w:val="center"/>
          </w:tcPr>
          <w:p w14:paraId="3449AE3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构造柱、圈梁、栏板等小型构件浇筑混凝土前钢筋未经隐蔽验收的</w:t>
            </w:r>
          </w:p>
        </w:tc>
        <w:tc>
          <w:tcPr>
            <w:tcW w:w="1547" w:type="dxa"/>
            <w:vAlign w:val="center"/>
          </w:tcPr>
          <w:p w14:paraId="4831212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41361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EF8175A">
            <w:pPr>
              <w:spacing w:line="400" w:lineRule="exact"/>
              <w:rPr>
                <w:rFonts w:ascii="仿宋" w:hAnsi="仿宋" w:eastAsia="仿宋" w:cs="宋体"/>
                <w:color w:val="auto"/>
                <w:kern w:val="0"/>
                <w:sz w:val="20"/>
                <w:szCs w:val="21"/>
                <w:highlight w:val="none"/>
              </w:rPr>
            </w:pPr>
          </w:p>
        </w:tc>
        <w:tc>
          <w:tcPr>
            <w:tcW w:w="616" w:type="dxa"/>
            <w:vAlign w:val="center"/>
          </w:tcPr>
          <w:p w14:paraId="1C9D7EE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47</w:t>
            </w:r>
          </w:p>
        </w:tc>
        <w:tc>
          <w:tcPr>
            <w:tcW w:w="5971" w:type="dxa"/>
            <w:gridSpan w:val="3"/>
            <w:vAlign w:val="center"/>
          </w:tcPr>
          <w:p w14:paraId="05B312E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厨、卫间未按规范规定浇筑素混凝土反梁的</w:t>
            </w:r>
          </w:p>
        </w:tc>
        <w:tc>
          <w:tcPr>
            <w:tcW w:w="1547" w:type="dxa"/>
            <w:vAlign w:val="center"/>
          </w:tcPr>
          <w:p w14:paraId="47C1338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67343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EBB136F">
            <w:pPr>
              <w:spacing w:line="400" w:lineRule="exact"/>
              <w:rPr>
                <w:rFonts w:ascii="仿宋" w:hAnsi="仿宋" w:eastAsia="仿宋" w:cs="宋体"/>
                <w:color w:val="auto"/>
                <w:kern w:val="0"/>
                <w:sz w:val="20"/>
                <w:szCs w:val="21"/>
                <w:highlight w:val="none"/>
              </w:rPr>
            </w:pPr>
          </w:p>
        </w:tc>
        <w:tc>
          <w:tcPr>
            <w:tcW w:w="616" w:type="dxa"/>
            <w:vAlign w:val="center"/>
          </w:tcPr>
          <w:p w14:paraId="0F5BCF6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48</w:t>
            </w:r>
          </w:p>
        </w:tc>
        <w:tc>
          <w:tcPr>
            <w:tcW w:w="5971" w:type="dxa"/>
            <w:gridSpan w:val="3"/>
            <w:vAlign w:val="center"/>
          </w:tcPr>
          <w:p w14:paraId="2B5B1D0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砖的砌筑砂浆饱满度不符合规范要求的</w:t>
            </w:r>
          </w:p>
        </w:tc>
        <w:tc>
          <w:tcPr>
            <w:tcW w:w="1547" w:type="dxa"/>
            <w:vAlign w:val="center"/>
          </w:tcPr>
          <w:p w14:paraId="0F0587C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02B64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25B4558">
            <w:pPr>
              <w:spacing w:line="400" w:lineRule="exact"/>
              <w:rPr>
                <w:rFonts w:ascii="仿宋" w:hAnsi="仿宋" w:eastAsia="仿宋" w:cs="宋体"/>
                <w:color w:val="auto"/>
                <w:kern w:val="0"/>
                <w:sz w:val="20"/>
                <w:szCs w:val="21"/>
                <w:highlight w:val="none"/>
              </w:rPr>
            </w:pPr>
          </w:p>
        </w:tc>
        <w:tc>
          <w:tcPr>
            <w:tcW w:w="616" w:type="dxa"/>
            <w:vAlign w:val="center"/>
          </w:tcPr>
          <w:p w14:paraId="7979809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49</w:t>
            </w:r>
          </w:p>
        </w:tc>
        <w:tc>
          <w:tcPr>
            <w:tcW w:w="5971" w:type="dxa"/>
            <w:gridSpan w:val="3"/>
            <w:vAlign w:val="center"/>
          </w:tcPr>
          <w:p w14:paraId="3B3EADD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砌体的垂直度、平整度、灰缝宽度，门窗洞口尺寸等不符合规范要求的</w:t>
            </w:r>
          </w:p>
        </w:tc>
        <w:tc>
          <w:tcPr>
            <w:tcW w:w="1547" w:type="dxa"/>
            <w:vAlign w:val="center"/>
          </w:tcPr>
          <w:p w14:paraId="22CBCD3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31CC4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1529735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防水工程</w:t>
            </w:r>
          </w:p>
        </w:tc>
        <w:tc>
          <w:tcPr>
            <w:tcW w:w="616" w:type="dxa"/>
            <w:vAlign w:val="center"/>
          </w:tcPr>
          <w:p w14:paraId="3D8443C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w:t>
            </w:r>
          </w:p>
        </w:tc>
        <w:tc>
          <w:tcPr>
            <w:tcW w:w="5971" w:type="dxa"/>
            <w:gridSpan w:val="3"/>
            <w:vAlign w:val="center"/>
          </w:tcPr>
          <w:p w14:paraId="7B945DD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防水材料规格不符或过期</w:t>
            </w:r>
          </w:p>
        </w:tc>
        <w:tc>
          <w:tcPr>
            <w:tcW w:w="1547" w:type="dxa"/>
            <w:vAlign w:val="center"/>
          </w:tcPr>
          <w:p w14:paraId="150A513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774B3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9B48E01">
            <w:pPr>
              <w:spacing w:line="400" w:lineRule="exact"/>
              <w:rPr>
                <w:rFonts w:ascii="仿宋" w:hAnsi="仿宋" w:eastAsia="仿宋" w:cs="宋体"/>
                <w:color w:val="auto"/>
                <w:kern w:val="0"/>
                <w:sz w:val="20"/>
                <w:szCs w:val="21"/>
                <w:highlight w:val="none"/>
              </w:rPr>
            </w:pPr>
          </w:p>
        </w:tc>
        <w:tc>
          <w:tcPr>
            <w:tcW w:w="616" w:type="dxa"/>
            <w:vAlign w:val="center"/>
          </w:tcPr>
          <w:p w14:paraId="042F189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51</w:t>
            </w:r>
          </w:p>
        </w:tc>
        <w:tc>
          <w:tcPr>
            <w:tcW w:w="5971" w:type="dxa"/>
            <w:gridSpan w:val="3"/>
            <w:vAlign w:val="center"/>
          </w:tcPr>
          <w:p w14:paraId="3DB2C27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防水工程施工无方案或方案未经审批的</w:t>
            </w:r>
          </w:p>
        </w:tc>
        <w:tc>
          <w:tcPr>
            <w:tcW w:w="1547" w:type="dxa"/>
            <w:vAlign w:val="center"/>
          </w:tcPr>
          <w:p w14:paraId="6631E5B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w:t>
            </w:r>
          </w:p>
        </w:tc>
      </w:tr>
      <w:tr w14:paraId="1552A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2C4F8FD">
            <w:pPr>
              <w:spacing w:line="400" w:lineRule="exact"/>
              <w:rPr>
                <w:rFonts w:ascii="仿宋" w:hAnsi="仿宋" w:eastAsia="仿宋" w:cs="宋体"/>
                <w:color w:val="auto"/>
                <w:kern w:val="0"/>
                <w:sz w:val="20"/>
                <w:szCs w:val="21"/>
                <w:highlight w:val="none"/>
              </w:rPr>
            </w:pPr>
          </w:p>
        </w:tc>
        <w:tc>
          <w:tcPr>
            <w:tcW w:w="616" w:type="dxa"/>
            <w:vAlign w:val="center"/>
          </w:tcPr>
          <w:p w14:paraId="38BE4E0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52</w:t>
            </w:r>
          </w:p>
        </w:tc>
        <w:tc>
          <w:tcPr>
            <w:tcW w:w="5971" w:type="dxa"/>
            <w:gridSpan w:val="3"/>
            <w:vAlign w:val="center"/>
          </w:tcPr>
          <w:p w14:paraId="4C7C47C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防水材料未经检验合格施工的</w:t>
            </w:r>
          </w:p>
        </w:tc>
        <w:tc>
          <w:tcPr>
            <w:tcW w:w="1547" w:type="dxa"/>
            <w:vAlign w:val="center"/>
          </w:tcPr>
          <w:p w14:paraId="15BB857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4ECC1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4215CB4">
            <w:pPr>
              <w:spacing w:line="400" w:lineRule="exact"/>
              <w:rPr>
                <w:rFonts w:ascii="仿宋" w:hAnsi="仿宋" w:eastAsia="仿宋" w:cs="宋体"/>
                <w:color w:val="auto"/>
                <w:kern w:val="0"/>
                <w:sz w:val="20"/>
                <w:szCs w:val="21"/>
                <w:highlight w:val="none"/>
              </w:rPr>
            </w:pPr>
          </w:p>
        </w:tc>
        <w:tc>
          <w:tcPr>
            <w:tcW w:w="616" w:type="dxa"/>
            <w:vAlign w:val="center"/>
          </w:tcPr>
          <w:p w14:paraId="04CA64A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53</w:t>
            </w:r>
          </w:p>
        </w:tc>
        <w:tc>
          <w:tcPr>
            <w:tcW w:w="5971" w:type="dxa"/>
            <w:gridSpan w:val="3"/>
            <w:vAlign w:val="center"/>
          </w:tcPr>
          <w:p w14:paraId="199E8F9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防水施工时偷换材料以次充好的</w:t>
            </w:r>
          </w:p>
        </w:tc>
        <w:tc>
          <w:tcPr>
            <w:tcW w:w="1547" w:type="dxa"/>
            <w:vAlign w:val="center"/>
          </w:tcPr>
          <w:p w14:paraId="3D4C487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2000元/处</w:t>
            </w:r>
          </w:p>
        </w:tc>
      </w:tr>
      <w:tr w14:paraId="44F200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989E783">
            <w:pPr>
              <w:spacing w:line="400" w:lineRule="exact"/>
              <w:rPr>
                <w:rFonts w:ascii="仿宋" w:hAnsi="仿宋" w:eastAsia="仿宋" w:cs="宋体"/>
                <w:color w:val="auto"/>
                <w:kern w:val="0"/>
                <w:sz w:val="20"/>
                <w:szCs w:val="21"/>
                <w:highlight w:val="none"/>
              </w:rPr>
            </w:pPr>
          </w:p>
        </w:tc>
        <w:tc>
          <w:tcPr>
            <w:tcW w:w="616" w:type="dxa"/>
            <w:vAlign w:val="center"/>
          </w:tcPr>
          <w:p w14:paraId="4987803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54</w:t>
            </w:r>
          </w:p>
        </w:tc>
        <w:tc>
          <w:tcPr>
            <w:tcW w:w="5971" w:type="dxa"/>
            <w:gridSpan w:val="3"/>
            <w:vAlign w:val="center"/>
          </w:tcPr>
          <w:p w14:paraId="7424BAB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卷材防水施工搭接长度不符合规范要求的</w:t>
            </w:r>
          </w:p>
        </w:tc>
        <w:tc>
          <w:tcPr>
            <w:tcW w:w="1547" w:type="dxa"/>
            <w:vAlign w:val="center"/>
          </w:tcPr>
          <w:p w14:paraId="79D367F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B208B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A8EDD78">
            <w:pPr>
              <w:spacing w:line="400" w:lineRule="exact"/>
              <w:rPr>
                <w:rFonts w:ascii="仿宋" w:hAnsi="仿宋" w:eastAsia="仿宋" w:cs="宋体"/>
                <w:color w:val="auto"/>
                <w:kern w:val="0"/>
                <w:sz w:val="20"/>
                <w:szCs w:val="21"/>
                <w:highlight w:val="none"/>
              </w:rPr>
            </w:pPr>
          </w:p>
        </w:tc>
        <w:tc>
          <w:tcPr>
            <w:tcW w:w="616" w:type="dxa"/>
            <w:vAlign w:val="center"/>
          </w:tcPr>
          <w:p w14:paraId="7A33BE2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55</w:t>
            </w:r>
          </w:p>
        </w:tc>
        <w:tc>
          <w:tcPr>
            <w:tcW w:w="5971" w:type="dxa"/>
            <w:gridSpan w:val="3"/>
            <w:vAlign w:val="center"/>
          </w:tcPr>
          <w:p w14:paraId="51C13F8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基层未经处理或未经验收私自施工的</w:t>
            </w:r>
          </w:p>
        </w:tc>
        <w:tc>
          <w:tcPr>
            <w:tcW w:w="1547" w:type="dxa"/>
            <w:vAlign w:val="center"/>
          </w:tcPr>
          <w:p w14:paraId="7B44E90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286D04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D4AC821">
            <w:pPr>
              <w:spacing w:line="400" w:lineRule="exact"/>
              <w:rPr>
                <w:rFonts w:ascii="仿宋" w:hAnsi="仿宋" w:eastAsia="仿宋" w:cs="宋体"/>
                <w:color w:val="auto"/>
                <w:kern w:val="0"/>
                <w:sz w:val="20"/>
                <w:szCs w:val="21"/>
                <w:highlight w:val="none"/>
              </w:rPr>
            </w:pPr>
          </w:p>
        </w:tc>
        <w:tc>
          <w:tcPr>
            <w:tcW w:w="616" w:type="dxa"/>
            <w:vAlign w:val="center"/>
          </w:tcPr>
          <w:p w14:paraId="16388A9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56</w:t>
            </w:r>
          </w:p>
        </w:tc>
        <w:tc>
          <w:tcPr>
            <w:tcW w:w="5971" w:type="dxa"/>
            <w:gridSpan w:val="3"/>
            <w:vAlign w:val="center"/>
          </w:tcPr>
          <w:p w14:paraId="10839BD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防水施工后未经验收或未进行蓄水试验隐蔽的</w:t>
            </w:r>
          </w:p>
        </w:tc>
        <w:tc>
          <w:tcPr>
            <w:tcW w:w="1547" w:type="dxa"/>
            <w:vAlign w:val="center"/>
          </w:tcPr>
          <w:p w14:paraId="516107C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2000元/处</w:t>
            </w:r>
          </w:p>
        </w:tc>
      </w:tr>
      <w:tr w14:paraId="59FF7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0737F3D">
            <w:pPr>
              <w:spacing w:line="400" w:lineRule="exact"/>
              <w:rPr>
                <w:rFonts w:ascii="仿宋" w:hAnsi="仿宋" w:eastAsia="仿宋" w:cs="宋体"/>
                <w:color w:val="auto"/>
                <w:kern w:val="0"/>
                <w:sz w:val="20"/>
                <w:szCs w:val="21"/>
                <w:highlight w:val="none"/>
              </w:rPr>
            </w:pPr>
          </w:p>
        </w:tc>
        <w:tc>
          <w:tcPr>
            <w:tcW w:w="616" w:type="dxa"/>
            <w:vAlign w:val="center"/>
          </w:tcPr>
          <w:p w14:paraId="024088C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57</w:t>
            </w:r>
          </w:p>
        </w:tc>
        <w:tc>
          <w:tcPr>
            <w:tcW w:w="5971" w:type="dxa"/>
            <w:gridSpan w:val="3"/>
            <w:vAlign w:val="center"/>
          </w:tcPr>
          <w:p w14:paraId="58F560B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防水施工未在应加强部位加强或加强不符合规范规</w:t>
            </w:r>
          </w:p>
        </w:tc>
        <w:tc>
          <w:tcPr>
            <w:tcW w:w="1547" w:type="dxa"/>
            <w:vAlign w:val="center"/>
          </w:tcPr>
          <w:p w14:paraId="290AD37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135994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8B8021F">
            <w:pPr>
              <w:spacing w:line="400" w:lineRule="exact"/>
              <w:rPr>
                <w:rFonts w:ascii="仿宋" w:hAnsi="仿宋" w:eastAsia="仿宋" w:cs="宋体"/>
                <w:color w:val="auto"/>
                <w:kern w:val="0"/>
                <w:sz w:val="20"/>
                <w:szCs w:val="21"/>
                <w:highlight w:val="none"/>
              </w:rPr>
            </w:pPr>
          </w:p>
        </w:tc>
        <w:tc>
          <w:tcPr>
            <w:tcW w:w="616" w:type="dxa"/>
            <w:vAlign w:val="center"/>
          </w:tcPr>
          <w:p w14:paraId="28E9C0B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58</w:t>
            </w:r>
          </w:p>
        </w:tc>
        <w:tc>
          <w:tcPr>
            <w:tcW w:w="5971" w:type="dxa"/>
            <w:gridSpan w:val="3"/>
            <w:vAlign w:val="center"/>
          </w:tcPr>
          <w:p w14:paraId="06BBDED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屋而、卫生间、管道、外墙、地下室等有防水要求的部位渗漏</w:t>
            </w:r>
          </w:p>
        </w:tc>
        <w:tc>
          <w:tcPr>
            <w:tcW w:w="1547" w:type="dxa"/>
            <w:vAlign w:val="center"/>
          </w:tcPr>
          <w:p w14:paraId="05978E8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5712A5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2C6F5FF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土方工程</w:t>
            </w:r>
          </w:p>
        </w:tc>
        <w:tc>
          <w:tcPr>
            <w:tcW w:w="616" w:type="dxa"/>
            <w:vAlign w:val="center"/>
          </w:tcPr>
          <w:p w14:paraId="5E028AC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59</w:t>
            </w:r>
          </w:p>
        </w:tc>
        <w:tc>
          <w:tcPr>
            <w:tcW w:w="5971" w:type="dxa"/>
            <w:gridSpan w:val="3"/>
            <w:vAlign w:val="center"/>
          </w:tcPr>
          <w:p w14:paraId="6C0D47E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土方开挖无方案或方案未经审批施工的</w:t>
            </w:r>
          </w:p>
        </w:tc>
        <w:tc>
          <w:tcPr>
            <w:tcW w:w="1547" w:type="dxa"/>
            <w:vAlign w:val="center"/>
          </w:tcPr>
          <w:p w14:paraId="7C20B1B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10000元/次</w:t>
            </w:r>
          </w:p>
        </w:tc>
      </w:tr>
      <w:tr w14:paraId="28C9C6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68B4BFD">
            <w:pPr>
              <w:spacing w:line="400" w:lineRule="exact"/>
              <w:rPr>
                <w:rFonts w:ascii="仿宋" w:hAnsi="仿宋" w:eastAsia="仿宋" w:cs="宋体"/>
                <w:color w:val="auto"/>
                <w:kern w:val="0"/>
                <w:sz w:val="20"/>
                <w:szCs w:val="21"/>
                <w:highlight w:val="none"/>
              </w:rPr>
            </w:pPr>
          </w:p>
        </w:tc>
        <w:tc>
          <w:tcPr>
            <w:tcW w:w="616" w:type="dxa"/>
            <w:vAlign w:val="center"/>
          </w:tcPr>
          <w:p w14:paraId="2D64486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60</w:t>
            </w:r>
          </w:p>
        </w:tc>
        <w:tc>
          <w:tcPr>
            <w:tcW w:w="5971" w:type="dxa"/>
            <w:gridSpan w:val="3"/>
            <w:vAlign w:val="center"/>
          </w:tcPr>
          <w:p w14:paraId="53F814C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支护开挖无设计方案的</w:t>
            </w:r>
          </w:p>
        </w:tc>
        <w:tc>
          <w:tcPr>
            <w:tcW w:w="1547" w:type="dxa"/>
            <w:vAlign w:val="center"/>
          </w:tcPr>
          <w:p w14:paraId="2E3BAE7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72BFF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C601E86">
            <w:pPr>
              <w:spacing w:line="400" w:lineRule="exact"/>
              <w:rPr>
                <w:rFonts w:ascii="仿宋" w:hAnsi="仿宋" w:eastAsia="仿宋" w:cs="宋体"/>
                <w:color w:val="auto"/>
                <w:kern w:val="0"/>
                <w:sz w:val="20"/>
                <w:szCs w:val="21"/>
                <w:highlight w:val="none"/>
              </w:rPr>
            </w:pPr>
          </w:p>
        </w:tc>
        <w:tc>
          <w:tcPr>
            <w:tcW w:w="616" w:type="dxa"/>
            <w:vAlign w:val="center"/>
          </w:tcPr>
          <w:p w14:paraId="78EB15B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61</w:t>
            </w:r>
          </w:p>
        </w:tc>
        <w:tc>
          <w:tcPr>
            <w:tcW w:w="5971" w:type="dxa"/>
            <w:gridSpan w:val="3"/>
            <w:vAlign w:val="center"/>
          </w:tcPr>
          <w:p w14:paraId="3DBE968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土方超挖无审批方案独自处理的</w:t>
            </w:r>
          </w:p>
        </w:tc>
        <w:tc>
          <w:tcPr>
            <w:tcW w:w="1547" w:type="dxa"/>
            <w:vAlign w:val="center"/>
          </w:tcPr>
          <w:p w14:paraId="1823A21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0A0272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EED2656">
            <w:pPr>
              <w:spacing w:line="400" w:lineRule="exact"/>
              <w:rPr>
                <w:rFonts w:ascii="仿宋" w:hAnsi="仿宋" w:eastAsia="仿宋" w:cs="宋体"/>
                <w:color w:val="auto"/>
                <w:kern w:val="0"/>
                <w:sz w:val="20"/>
                <w:szCs w:val="21"/>
                <w:highlight w:val="none"/>
              </w:rPr>
            </w:pPr>
          </w:p>
        </w:tc>
        <w:tc>
          <w:tcPr>
            <w:tcW w:w="616" w:type="dxa"/>
            <w:vAlign w:val="center"/>
          </w:tcPr>
          <w:p w14:paraId="05D58F8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62</w:t>
            </w:r>
          </w:p>
        </w:tc>
        <w:tc>
          <w:tcPr>
            <w:tcW w:w="5971" w:type="dxa"/>
            <w:gridSpan w:val="3"/>
            <w:vAlign w:val="center"/>
          </w:tcPr>
          <w:p w14:paraId="6963846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垫层施工未经隐蔽验收或地基验槽的</w:t>
            </w:r>
          </w:p>
        </w:tc>
        <w:tc>
          <w:tcPr>
            <w:tcW w:w="1547" w:type="dxa"/>
            <w:vAlign w:val="center"/>
          </w:tcPr>
          <w:p w14:paraId="50DC9C1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08EEEA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07B42F5">
            <w:pPr>
              <w:spacing w:line="400" w:lineRule="exact"/>
              <w:rPr>
                <w:rFonts w:ascii="仿宋" w:hAnsi="仿宋" w:eastAsia="仿宋" w:cs="宋体"/>
                <w:color w:val="auto"/>
                <w:kern w:val="0"/>
                <w:sz w:val="20"/>
                <w:szCs w:val="21"/>
                <w:highlight w:val="none"/>
              </w:rPr>
            </w:pPr>
          </w:p>
        </w:tc>
        <w:tc>
          <w:tcPr>
            <w:tcW w:w="616" w:type="dxa"/>
            <w:vAlign w:val="center"/>
          </w:tcPr>
          <w:p w14:paraId="4D679FD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63</w:t>
            </w:r>
          </w:p>
        </w:tc>
        <w:tc>
          <w:tcPr>
            <w:tcW w:w="5971" w:type="dxa"/>
            <w:gridSpan w:val="3"/>
            <w:vAlign w:val="center"/>
          </w:tcPr>
          <w:p w14:paraId="27DABFA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土方开挖周边无防护措施的(深度&gt;2m的基坑)或无上下</w:t>
            </w:r>
          </w:p>
          <w:p w14:paraId="0583547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通道的</w:t>
            </w:r>
          </w:p>
        </w:tc>
        <w:tc>
          <w:tcPr>
            <w:tcW w:w="1547" w:type="dxa"/>
            <w:vAlign w:val="center"/>
          </w:tcPr>
          <w:p w14:paraId="0D089EB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1154E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066502C">
            <w:pPr>
              <w:spacing w:line="400" w:lineRule="exact"/>
              <w:rPr>
                <w:rFonts w:ascii="仿宋" w:hAnsi="仿宋" w:eastAsia="仿宋" w:cs="宋体"/>
                <w:color w:val="auto"/>
                <w:kern w:val="0"/>
                <w:sz w:val="20"/>
                <w:szCs w:val="21"/>
                <w:highlight w:val="none"/>
              </w:rPr>
            </w:pPr>
          </w:p>
        </w:tc>
        <w:tc>
          <w:tcPr>
            <w:tcW w:w="616" w:type="dxa"/>
            <w:vAlign w:val="center"/>
          </w:tcPr>
          <w:p w14:paraId="6776C16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64</w:t>
            </w:r>
          </w:p>
        </w:tc>
        <w:tc>
          <w:tcPr>
            <w:tcW w:w="5971" w:type="dxa"/>
            <w:gridSpan w:val="3"/>
            <w:vAlign w:val="center"/>
          </w:tcPr>
          <w:p w14:paraId="0A8BA5D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土方回填未按规定分层夯实的</w:t>
            </w:r>
          </w:p>
        </w:tc>
        <w:tc>
          <w:tcPr>
            <w:tcW w:w="1547" w:type="dxa"/>
            <w:vAlign w:val="center"/>
          </w:tcPr>
          <w:p w14:paraId="474CD92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14789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25A4F64">
            <w:pPr>
              <w:spacing w:line="400" w:lineRule="exact"/>
              <w:rPr>
                <w:rFonts w:ascii="仿宋" w:hAnsi="仿宋" w:eastAsia="仿宋" w:cs="宋体"/>
                <w:color w:val="auto"/>
                <w:kern w:val="0"/>
                <w:sz w:val="20"/>
                <w:szCs w:val="21"/>
                <w:highlight w:val="none"/>
              </w:rPr>
            </w:pPr>
          </w:p>
        </w:tc>
        <w:tc>
          <w:tcPr>
            <w:tcW w:w="616" w:type="dxa"/>
            <w:vAlign w:val="center"/>
          </w:tcPr>
          <w:p w14:paraId="5B2BAE5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65</w:t>
            </w:r>
          </w:p>
        </w:tc>
        <w:tc>
          <w:tcPr>
            <w:tcW w:w="5971" w:type="dxa"/>
            <w:gridSpan w:val="3"/>
            <w:vAlign w:val="center"/>
          </w:tcPr>
          <w:p w14:paraId="4CDE78C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地基因雨天浸泡未做处理后施工的或无排水措施的</w:t>
            </w:r>
          </w:p>
        </w:tc>
        <w:tc>
          <w:tcPr>
            <w:tcW w:w="1547" w:type="dxa"/>
            <w:vAlign w:val="center"/>
          </w:tcPr>
          <w:p w14:paraId="77B2998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3000元/次</w:t>
            </w:r>
          </w:p>
        </w:tc>
      </w:tr>
      <w:tr w14:paraId="55C5A8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96D8659">
            <w:pPr>
              <w:spacing w:line="400" w:lineRule="exact"/>
              <w:rPr>
                <w:rFonts w:ascii="仿宋" w:hAnsi="仿宋" w:eastAsia="仿宋" w:cs="宋体"/>
                <w:color w:val="auto"/>
                <w:kern w:val="0"/>
                <w:sz w:val="20"/>
                <w:szCs w:val="21"/>
                <w:highlight w:val="none"/>
              </w:rPr>
            </w:pPr>
          </w:p>
        </w:tc>
        <w:tc>
          <w:tcPr>
            <w:tcW w:w="616" w:type="dxa"/>
            <w:vAlign w:val="center"/>
          </w:tcPr>
          <w:p w14:paraId="3E8B6CA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66</w:t>
            </w:r>
          </w:p>
        </w:tc>
        <w:tc>
          <w:tcPr>
            <w:tcW w:w="5971" w:type="dxa"/>
            <w:gridSpan w:val="3"/>
            <w:vAlign w:val="center"/>
          </w:tcPr>
          <w:p w14:paraId="4FD3720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深基坑无环境监控措施的</w:t>
            </w:r>
          </w:p>
        </w:tc>
        <w:tc>
          <w:tcPr>
            <w:tcW w:w="1547" w:type="dxa"/>
            <w:vAlign w:val="center"/>
          </w:tcPr>
          <w:p w14:paraId="2B88887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75221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A26CDA5">
            <w:pPr>
              <w:spacing w:line="400" w:lineRule="exact"/>
              <w:rPr>
                <w:rFonts w:ascii="仿宋" w:hAnsi="仿宋" w:eastAsia="仿宋" w:cs="宋体"/>
                <w:color w:val="auto"/>
                <w:kern w:val="0"/>
                <w:sz w:val="20"/>
                <w:szCs w:val="21"/>
                <w:highlight w:val="none"/>
              </w:rPr>
            </w:pPr>
          </w:p>
        </w:tc>
        <w:tc>
          <w:tcPr>
            <w:tcW w:w="616" w:type="dxa"/>
            <w:vAlign w:val="center"/>
          </w:tcPr>
          <w:p w14:paraId="0EC2BD4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67</w:t>
            </w:r>
          </w:p>
        </w:tc>
        <w:tc>
          <w:tcPr>
            <w:tcW w:w="5971" w:type="dxa"/>
            <w:gridSpan w:val="3"/>
            <w:vAlign w:val="center"/>
          </w:tcPr>
          <w:p w14:paraId="046397C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士方开挖顺序不符合规范规定</w:t>
            </w:r>
          </w:p>
        </w:tc>
        <w:tc>
          <w:tcPr>
            <w:tcW w:w="1547" w:type="dxa"/>
            <w:vAlign w:val="center"/>
          </w:tcPr>
          <w:p w14:paraId="2700873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40B6F9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49BCA92">
            <w:pPr>
              <w:spacing w:line="400" w:lineRule="exact"/>
              <w:rPr>
                <w:rFonts w:ascii="仿宋" w:hAnsi="仿宋" w:eastAsia="仿宋" w:cs="宋体"/>
                <w:color w:val="auto"/>
                <w:kern w:val="0"/>
                <w:sz w:val="20"/>
                <w:szCs w:val="21"/>
                <w:highlight w:val="none"/>
              </w:rPr>
            </w:pPr>
          </w:p>
        </w:tc>
        <w:tc>
          <w:tcPr>
            <w:tcW w:w="616" w:type="dxa"/>
            <w:vAlign w:val="center"/>
          </w:tcPr>
          <w:p w14:paraId="1BBC931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68</w:t>
            </w:r>
          </w:p>
        </w:tc>
        <w:tc>
          <w:tcPr>
            <w:tcW w:w="5971" w:type="dxa"/>
            <w:gridSpan w:val="3"/>
            <w:vAlign w:val="center"/>
          </w:tcPr>
          <w:p w14:paraId="7CE31F9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开挖的上方推放不符合规范</w:t>
            </w:r>
          </w:p>
        </w:tc>
        <w:tc>
          <w:tcPr>
            <w:tcW w:w="1547" w:type="dxa"/>
            <w:vAlign w:val="center"/>
          </w:tcPr>
          <w:p w14:paraId="4385DC9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2B2B8B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2A0A675">
            <w:pPr>
              <w:spacing w:line="400" w:lineRule="exact"/>
              <w:rPr>
                <w:rFonts w:ascii="仿宋" w:hAnsi="仿宋" w:eastAsia="仿宋" w:cs="宋体"/>
                <w:color w:val="auto"/>
                <w:kern w:val="0"/>
                <w:sz w:val="20"/>
                <w:szCs w:val="21"/>
                <w:highlight w:val="none"/>
              </w:rPr>
            </w:pPr>
          </w:p>
        </w:tc>
        <w:tc>
          <w:tcPr>
            <w:tcW w:w="616" w:type="dxa"/>
            <w:vAlign w:val="center"/>
          </w:tcPr>
          <w:p w14:paraId="654110E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69</w:t>
            </w:r>
          </w:p>
        </w:tc>
        <w:tc>
          <w:tcPr>
            <w:tcW w:w="5971" w:type="dxa"/>
            <w:gridSpan w:val="3"/>
            <w:vAlign w:val="center"/>
          </w:tcPr>
          <w:p w14:paraId="3588A19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土方回填的土质不符合设计或规范要求的</w:t>
            </w:r>
          </w:p>
        </w:tc>
        <w:tc>
          <w:tcPr>
            <w:tcW w:w="1547" w:type="dxa"/>
            <w:vAlign w:val="center"/>
          </w:tcPr>
          <w:p w14:paraId="76F19BE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5000元/处</w:t>
            </w:r>
          </w:p>
        </w:tc>
      </w:tr>
      <w:tr w14:paraId="29257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686A1F8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建筑地面工程</w:t>
            </w:r>
          </w:p>
        </w:tc>
        <w:tc>
          <w:tcPr>
            <w:tcW w:w="616" w:type="dxa"/>
            <w:vAlign w:val="center"/>
          </w:tcPr>
          <w:p w14:paraId="5EA2220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70</w:t>
            </w:r>
          </w:p>
        </w:tc>
        <w:tc>
          <w:tcPr>
            <w:tcW w:w="5971" w:type="dxa"/>
            <w:gridSpan w:val="3"/>
            <w:vAlign w:val="center"/>
          </w:tcPr>
          <w:p w14:paraId="3D525F0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建筑地面工程采用的材料未按设计要求和规范的规定，进场材料没有质量合格证明文件：重要材料没有复检报告的。</w:t>
            </w:r>
          </w:p>
        </w:tc>
        <w:tc>
          <w:tcPr>
            <w:tcW w:w="1547" w:type="dxa"/>
            <w:vAlign w:val="center"/>
          </w:tcPr>
          <w:p w14:paraId="3D198CE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20000元/次</w:t>
            </w:r>
          </w:p>
        </w:tc>
      </w:tr>
      <w:tr w14:paraId="236D2A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4E9D5FD">
            <w:pPr>
              <w:spacing w:line="400" w:lineRule="exact"/>
              <w:rPr>
                <w:rFonts w:ascii="仿宋" w:hAnsi="仿宋" w:eastAsia="仿宋" w:cs="宋体"/>
                <w:color w:val="auto"/>
                <w:kern w:val="0"/>
                <w:sz w:val="20"/>
                <w:szCs w:val="21"/>
                <w:highlight w:val="none"/>
              </w:rPr>
            </w:pPr>
          </w:p>
        </w:tc>
        <w:tc>
          <w:tcPr>
            <w:tcW w:w="616" w:type="dxa"/>
            <w:vAlign w:val="center"/>
          </w:tcPr>
          <w:p w14:paraId="0863F91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71</w:t>
            </w:r>
          </w:p>
        </w:tc>
        <w:tc>
          <w:tcPr>
            <w:tcW w:w="5971" w:type="dxa"/>
            <w:gridSpan w:val="3"/>
            <w:vAlign w:val="center"/>
          </w:tcPr>
          <w:p w14:paraId="4A90B47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厨房、厕浴间和有排水要求的建筑地而与其连接各面层的标高差不符合设计要求。</w:t>
            </w:r>
          </w:p>
        </w:tc>
        <w:tc>
          <w:tcPr>
            <w:tcW w:w="1547" w:type="dxa"/>
            <w:vAlign w:val="center"/>
          </w:tcPr>
          <w:p w14:paraId="61F775D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0897D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DC01687">
            <w:pPr>
              <w:spacing w:line="400" w:lineRule="exact"/>
              <w:rPr>
                <w:rFonts w:ascii="仿宋" w:hAnsi="仿宋" w:eastAsia="仿宋" w:cs="宋体"/>
                <w:color w:val="auto"/>
                <w:kern w:val="0"/>
                <w:sz w:val="20"/>
                <w:szCs w:val="21"/>
                <w:highlight w:val="none"/>
              </w:rPr>
            </w:pPr>
          </w:p>
        </w:tc>
        <w:tc>
          <w:tcPr>
            <w:tcW w:w="616" w:type="dxa"/>
            <w:vAlign w:val="center"/>
          </w:tcPr>
          <w:p w14:paraId="06EDF24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72</w:t>
            </w:r>
          </w:p>
        </w:tc>
        <w:tc>
          <w:tcPr>
            <w:tcW w:w="5971" w:type="dxa"/>
            <w:gridSpan w:val="3"/>
            <w:vAlign w:val="center"/>
          </w:tcPr>
          <w:p w14:paraId="1C5D6DA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水泥砂浆、混凝上强度试块的组数不符合规范规定要求的。</w:t>
            </w:r>
          </w:p>
        </w:tc>
        <w:tc>
          <w:tcPr>
            <w:tcW w:w="1547" w:type="dxa"/>
            <w:vAlign w:val="center"/>
          </w:tcPr>
          <w:p w14:paraId="691FC6F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3F91D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A00F6F8">
            <w:pPr>
              <w:spacing w:line="400" w:lineRule="exact"/>
              <w:rPr>
                <w:rFonts w:ascii="仿宋" w:hAnsi="仿宋" w:eastAsia="仿宋" w:cs="宋体"/>
                <w:color w:val="auto"/>
                <w:kern w:val="0"/>
                <w:sz w:val="20"/>
                <w:szCs w:val="21"/>
                <w:highlight w:val="none"/>
              </w:rPr>
            </w:pPr>
          </w:p>
        </w:tc>
        <w:tc>
          <w:tcPr>
            <w:tcW w:w="616" w:type="dxa"/>
            <w:vAlign w:val="center"/>
          </w:tcPr>
          <w:p w14:paraId="5C2962E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73</w:t>
            </w:r>
          </w:p>
        </w:tc>
        <w:tc>
          <w:tcPr>
            <w:tcW w:w="5971" w:type="dxa"/>
            <w:gridSpan w:val="3"/>
            <w:vAlign w:val="center"/>
          </w:tcPr>
          <w:p w14:paraId="2377333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基上采用淤泥、腐殖上、冻士、耕植、膨胀土和含有有机物质大于8%的土作为填土。</w:t>
            </w:r>
          </w:p>
        </w:tc>
        <w:tc>
          <w:tcPr>
            <w:tcW w:w="1547" w:type="dxa"/>
            <w:vAlign w:val="center"/>
          </w:tcPr>
          <w:p w14:paraId="3175167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06DBD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B3A4418">
            <w:pPr>
              <w:spacing w:line="400" w:lineRule="exact"/>
              <w:rPr>
                <w:rFonts w:ascii="仿宋" w:hAnsi="仿宋" w:eastAsia="仿宋" w:cs="宋体"/>
                <w:color w:val="auto"/>
                <w:kern w:val="0"/>
                <w:sz w:val="20"/>
                <w:szCs w:val="21"/>
                <w:highlight w:val="none"/>
              </w:rPr>
            </w:pPr>
          </w:p>
        </w:tc>
        <w:tc>
          <w:tcPr>
            <w:tcW w:w="616" w:type="dxa"/>
            <w:vAlign w:val="center"/>
          </w:tcPr>
          <w:p w14:paraId="35D7D65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74</w:t>
            </w:r>
          </w:p>
        </w:tc>
        <w:tc>
          <w:tcPr>
            <w:tcW w:w="5971" w:type="dxa"/>
            <w:gridSpan w:val="3"/>
            <w:vAlign w:val="center"/>
          </w:tcPr>
          <w:p w14:paraId="6F34C82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基土不密实，压实系数不符合设计要求及规范规定。</w:t>
            </w:r>
          </w:p>
        </w:tc>
        <w:tc>
          <w:tcPr>
            <w:tcW w:w="1547" w:type="dxa"/>
            <w:vAlign w:val="center"/>
          </w:tcPr>
          <w:p w14:paraId="47B2970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0D89F2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8DB892F">
            <w:pPr>
              <w:spacing w:line="400" w:lineRule="exact"/>
              <w:rPr>
                <w:rFonts w:ascii="仿宋" w:hAnsi="仿宋" w:eastAsia="仿宋" w:cs="宋体"/>
                <w:color w:val="auto"/>
                <w:kern w:val="0"/>
                <w:sz w:val="20"/>
                <w:szCs w:val="21"/>
                <w:highlight w:val="none"/>
              </w:rPr>
            </w:pPr>
          </w:p>
        </w:tc>
        <w:tc>
          <w:tcPr>
            <w:tcW w:w="616" w:type="dxa"/>
            <w:vAlign w:val="center"/>
          </w:tcPr>
          <w:p w14:paraId="712ABB9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75</w:t>
            </w:r>
          </w:p>
        </w:tc>
        <w:tc>
          <w:tcPr>
            <w:tcW w:w="5971" w:type="dxa"/>
            <w:gridSpan w:val="3"/>
            <w:vAlign w:val="center"/>
          </w:tcPr>
          <w:p w14:paraId="399B968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有防水要求的建筑地面工程，铺设前未对立管套管和地漏与楼板节点之间进行密封处理：排水坡度不符合设计要求的。</w:t>
            </w:r>
          </w:p>
        </w:tc>
        <w:tc>
          <w:tcPr>
            <w:tcW w:w="1547" w:type="dxa"/>
            <w:vAlign w:val="center"/>
          </w:tcPr>
          <w:p w14:paraId="69B3C79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B800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35A878D">
            <w:pPr>
              <w:spacing w:line="400" w:lineRule="exact"/>
              <w:rPr>
                <w:rFonts w:ascii="仿宋" w:hAnsi="仿宋" w:eastAsia="仿宋" w:cs="宋体"/>
                <w:color w:val="auto"/>
                <w:kern w:val="0"/>
                <w:sz w:val="20"/>
                <w:szCs w:val="21"/>
                <w:highlight w:val="none"/>
              </w:rPr>
            </w:pPr>
          </w:p>
        </w:tc>
        <w:tc>
          <w:tcPr>
            <w:tcW w:w="616" w:type="dxa"/>
            <w:vAlign w:val="center"/>
          </w:tcPr>
          <w:p w14:paraId="3C38236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76</w:t>
            </w:r>
          </w:p>
        </w:tc>
        <w:tc>
          <w:tcPr>
            <w:tcW w:w="5971" w:type="dxa"/>
            <w:gridSpan w:val="3"/>
            <w:vAlign w:val="center"/>
          </w:tcPr>
          <w:p w14:paraId="6BA287D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面层与下一层的结合《粘结》不难固、空鼓的。</w:t>
            </w:r>
          </w:p>
        </w:tc>
        <w:tc>
          <w:tcPr>
            <w:tcW w:w="1547" w:type="dxa"/>
            <w:vAlign w:val="center"/>
          </w:tcPr>
          <w:p w14:paraId="480DA9B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CF4FC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0493574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屋面工程</w:t>
            </w:r>
          </w:p>
        </w:tc>
        <w:tc>
          <w:tcPr>
            <w:tcW w:w="616" w:type="dxa"/>
            <w:vAlign w:val="center"/>
          </w:tcPr>
          <w:p w14:paraId="79882DC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77</w:t>
            </w:r>
          </w:p>
        </w:tc>
        <w:tc>
          <w:tcPr>
            <w:tcW w:w="5971" w:type="dxa"/>
            <w:gridSpan w:val="3"/>
            <w:vAlign w:val="center"/>
          </w:tcPr>
          <w:p w14:paraId="698AA32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屋面工程果用的防水保温隔热材无产品合格证书和性能检测报告：材料不符合现行图标和设计要求。</w:t>
            </w:r>
          </w:p>
        </w:tc>
        <w:tc>
          <w:tcPr>
            <w:tcW w:w="1547" w:type="dxa"/>
            <w:vAlign w:val="center"/>
          </w:tcPr>
          <w:p w14:paraId="2D1D31E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2000元次</w:t>
            </w:r>
          </w:p>
        </w:tc>
      </w:tr>
      <w:tr w14:paraId="533D69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EAE544F">
            <w:pPr>
              <w:spacing w:line="400" w:lineRule="exact"/>
              <w:rPr>
                <w:rFonts w:ascii="仿宋" w:hAnsi="仿宋" w:eastAsia="仿宋" w:cs="宋体"/>
                <w:color w:val="auto"/>
                <w:kern w:val="0"/>
                <w:sz w:val="20"/>
                <w:szCs w:val="21"/>
                <w:highlight w:val="none"/>
              </w:rPr>
            </w:pPr>
          </w:p>
        </w:tc>
        <w:tc>
          <w:tcPr>
            <w:tcW w:w="616" w:type="dxa"/>
            <w:vAlign w:val="center"/>
          </w:tcPr>
          <w:p w14:paraId="043B103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78</w:t>
            </w:r>
          </w:p>
        </w:tc>
        <w:tc>
          <w:tcPr>
            <w:tcW w:w="5971" w:type="dxa"/>
            <w:gridSpan w:val="3"/>
            <w:vAlign w:val="center"/>
          </w:tcPr>
          <w:p w14:paraId="3CC1E66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找平层的排水坡度不符合设计要求。</w:t>
            </w:r>
          </w:p>
        </w:tc>
        <w:tc>
          <w:tcPr>
            <w:tcW w:w="1547" w:type="dxa"/>
            <w:vAlign w:val="center"/>
          </w:tcPr>
          <w:p w14:paraId="645764D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31AF82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63F220A">
            <w:pPr>
              <w:spacing w:line="400" w:lineRule="exact"/>
              <w:rPr>
                <w:rFonts w:ascii="仿宋" w:hAnsi="仿宋" w:eastAsia="仿宋" w:cs="宋体"/>
                <w:color w:val="auto"/>
                <w:kern w:val="0"/>
                <w:sz w:val="20"/>
                <w:szCs w:val="21"/>
                <w:highlight w:val="none"/>
              </w:rPr>
            </w:pPr>
          </w:p>
        </w:tc>
        <w:tc>
          <w:tcPr>
            <w:tcW w:w="616" w:type="dxa"/>
            <w:vAlign w:val="center"/>
          </w:tcPr>
          <w:p w14:paraId="1D0258C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79</w:t>
            </w:r>
          </w:p>
        </w:tc>
        <w:tc>
          <w:tcPr>
            <w:tcW w:w="5971" w:type="dxa"/>
            <w:gridSpan w:val="3"/>
            <w:vAlign w:val="center"/>
          </w:tcPr>
          <w:p w14:paraId="783D5B8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找平层的材料质量及配合比不符合要求。</w:t>
            </w:r>
          </w:p>
        </w:tc>
        <w:tc>
          <w:tcPr>
            <w:tcW w:w="1547" w:type="dxa"/>
            <w:vAlign w:val="center"/>
          </w:tcPr>
          <w:p w14:paraId="0E562AC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13CF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0B314F4">
            <w:pPr>
              <w:spacing w:line="400" w:lineRule="exact"/>
              <w:rPr>
                <w:rFonts w:ascii="仿宋" w:hAnsi="仿宋" w:eastAsia="仿宋" w:cs="宋体"/>
                <w:color w:val="auto"/>
                <w:kern w:val="0"/>
                <w:sz w:val="20"/>
                <w:szCs w:val="21"/>
                <w:highlight w:val="none"/>
              </w:rPr>
            </w:pPr>
          </w:p>
        </w:tc>
        <w:tc>
          <w:tcPr>
            <w:tcW w:w="616" w:type="dxa"/>
            <w:vAlign w:val="center"/>
          </w:tcPr>
          <w:p w14:paraId="177BACD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80</w:t>
            </w:r>
          </w:p>
        </w:tc>
        <w:tc>
          <w:tcPr>
            <w:tcW w:w="5971" w:type="dxa"/>
            <w:gridSpan w:val="3"/>
            <w:vAlign w:val="center"/>
          </w:tcPr>
          <w:p w14:paraId="7DDAC01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屋面(含天沟、檐沟)找平层的排水坡度不符合实际要求</w:t>
            </w:r>
          </w:p>
        </w:tc>
        <w:tc>
          <w:tcPr>
            <w:tcW w:w="1547" w:type="dxa"/>
            <w:vAlign w:val="center"/>
          </w:tcPr>
          <w:p w14:paraId="0227A2D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0823C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543F56D">
            <w:pPr>
              <w:spacing w:line="400" w:lineRule="exact"/>
              <w:rPr>
                <w:rFonts w:ascii="仿宋" w:hAnsi="仿宋" w:eastAsia="仿宋" w:cs="宋体"/>
                <w:color w:val="auto"/>
                <w:kern w:val="0"/>
                <w:sz w:val="20"/>
                <w:szCs w:val="21"/>
                <w:highlight w:val="none"/>
              </w:rPr>
            </w:pPr>
          </w:p>
        </w:tc>
        <w:tc>
          <w:tcPr>
            <w:tcW w:w="616" w:type="dxa"/>
            <w:vAlign w:val="center"/>
          </w:tcPr>
          <w:p w14:paraId="102A040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81</w:t>
            </w:r>
          </w:p>
        </w:tc>
        <w:tc>
          <w:tcPr>
            <w:tcW w:w="5971" w:type="dxa"/>
            <w:gridSpan w:val="3"/>
            <w:vAlign w:val="center"/>
          </w:tcPr>
          <w:p w14:paraId="41E6B16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水泥砂浆、细石混凝土找平层无平整，压光有松、起少、起皮现象。</w:t>
            </w:r>
          </w:p>
        </w:tc>
        <w:tc>
          <w:tcPr>
            <w:tcW w:w="1547" w:type="dxa"/>
            <w:vAlign w:val="center"/>
          </w:tcPr>
          <w:p w14:paraId="17163F5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2C8B00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895C6A0">
            <w:pPr>
              <w:spacing w:line="400" w:lineRule="exact"/>
              <w:rPr>
                <w:rFonts w:ascii="仿宋" w:hAnsi="仿宋" w:eastAsia="仿宋" w:cs="宋体"/>
                <w:color w:val="auto"/>
                <w:kern w:val="0"/>
                <w:sz w:val="20"/>
                <w:szCs w:val="21"/>
                <w:highlight w:val="none"/>
              </w:rPr>
            </w:pPr>
          </w:p>
        </w:tc>
        <w:tc>
          <w:tcPr>
            <w:tcW w:w="616" w:type="dxa"/>
            <w:vAlign w:val="center"/>
          </w:tcPr>
          <w:p w14:paraId="2F39AD2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82</w:t>
            </w:r>
          </w:p>
        </w:tc>
        <w:tc>
          <w:tcPr>
            <w:tcW w:w="5971" w:type="dxa"/>
            <w:gridSpan w:val="3"/>
            <w:vAlign w:val="center"/>
          </w:tcPr>
          <w:p w14:paraId="09CDDC4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保温材料的堆积密度或表面密度&gt;导热系数及板材的强度,吸水率不符合设计要求。</w:t>
            </w:r>
          </w:p>
        </w:tc>
        <w:tc>
          <w:tcPr>
            <w:tcW w:w="1547" w:type="dxa"/>
            <w:vAlign w:val="center"/>
          </w:tcPr>
          <w:p w14:paraId="1B7CA05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B406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0224945">
            <w:pPr>
              <w:spacing w:line="400" w:lineRule="exact"/>
              <w:rPr>
                <w:rFonts w:ascii="仿宋" w:hAnsi="仿宋" w:eastAsia="仿宋" w:cs="宋体"/>
                <w:color w:val="auto"/>
                <w:kern w:val="0"/>
                <w:sz w:val="20"/>
                <w:szCs w:val="21"/>
                <w:highlight w:val="none"/>
              </w:rPr>
            </w:pPr>
          </w:p>
        </w:tc>
        <w:tc>
          <w:tcPr>
            <w:tcW w:w="616" w:type="dxa"/>
            <w:vAlign w:val="center"/>
          </w:tcPr>
          <w:p w14:paraId="4F4309A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83</w:t>
            </w:r>
          </w:p>
        </w:tc>
        <w:tc>
          <w:tcPr>
            <w:tcW w:w="5971" w:type="dxa"/>
            <w:gridSpan w:val="3"/>
            <w:vAlign w:val="center"/>
          </w:tcPr>
          <w:p w14:paraId="182683B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保温层的含水率不符合设计要求</w:t>
            </w:r>
          </w:p>
        </w:tc>
        <w:tc>
          <w:tcPr>
            <w:tcW w:w="1547" w:type="dxa"/>
            <w:vAlign w:val="center"/>
          </w:tcPr>
          <w:p w14:paraId="5C95425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8684E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6E63C5F">
            <w:pPr>
              <w:spacing w:line="400" w:lineRule="exact"/>
              <w:rPr>
                <w:rFonts w:ascii="仿宋" w:hAnsi="仿宋" w:eastAsia="仿宋" w:cs="宋体"/>
                <w:color w:val="auto"/>
                <w:kern w:val="0"/>
                <w:sz w:val="20"/>
                <w:szCs w:val="21"/>
                <w:highlight w:val="none"/>
              </w:rPr>
            </w:pPr>
          </w:p>
        </w:tc>
        <w:tc>
          <w:tcPr>
            <w:tcW w:w="616" w:type="dxa"/>
            <w:vAlign w:val="center"/>
          </w:tcPr>
          <w:p w14:paraId="6732EE5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84</w:t>
            </w:r>
          </w:p>
        </w:tc>
        <w:tc>
          <w:tcPr>
            <w:tcW w:w="5971" w:type="dxa"/>
            <w:gridSpan w:val="3"/>
            <w:vAlign w:val="center"/>
          </w:tcPr>
          <w:p w14:paraId="0E34D18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卷材铺贴方向不符合规范规定。</w:t>
            </w:r>
          </w:p>
        </w:tc>
        <w:tc>
          <w:tcPr>
            <w:tcW w:w="1547" w:type="dxa"/>
            <w:vAlign w:val="center"/>
          </w:tcPr>
          <w:p w14:paraId="2B479E9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07AB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BDDC452">
            <w:pPr>
              <w:spacing w:line="400" w:lineRule="exact"/>
              <w:rPr>
                <w:rFonts w:ascii="仿宋" w:hAnsi="仿宋" w:eastAsia="仿宋" w:cs="宋体"/>
                <w:color w:val="auto"/>
                <w:kern w:val="0"/>
                <w:sz w:val="20"/>
                <w:szCs w:val="21"/>
                <w:highlight w:val="none"/>
              </w:rPr>
            </w:pPr>
          </w:p>
        </w:tc>
        <w:tc>
          <w:tcPr>
            <w:tcW w:w="616" w:type="dxa"/>
            <w:vAlign w:val="center"/>
          </w:tcPr>
          <w:p w14:paraId="5EB1D16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85</w:t>
            </w:r>
          </w:p>
        </w:tc>
        <w:tc>
          <w:tcPr>
            <w:tcW w:w="5971" w:type="dxa"/>
            <w:gridSpan w:val="3"/>
            <w:vAlign w:val="center"/>
          </w:tcPr>
          <w:p w14:paraId="2BB15D5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铺贴卷材采用搭接法时，未错缝搭接，搭接宽度不符合规范要求</w:t>
            </w:r>
          </w:p>
        </w:tc>
        <w:tc>
          <w:tcPr>
            <w:tcW w:w="1547" w:type="dxa"/>
            <w:vAlign w:val="center"/>
          </w:tcPr>
          <w:p w14:paraId="6D97254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A4D4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018C97D">
            <w:pPr>
              <w:spacing w:line="400" w:lineRule="exact"/>
              <w:rPr>
                <w:rFonts w:ascii="仿宋" w:hAnsi="仿宋" w:eastAsia="仿宋" w:cs="宋体"/>
                <w:color w:val="auto"/>
                <w:kern w:val="0"/>
                <w:sz w:val="20"/>
                <w:szCs w:val="21"/>
                <w:highlight w:val="none"/>
              </w:rPr>
            </w:pPr>
          </w:p>
        </w:tc>
        <w:tc>
          <w:tcPr>
            <w:tcW w:w="616" w:type="dxa"/>
            <w:vAlign w:val="center"/>
          </w:tcPr>
          <w:p w14:paraId="769E5D5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86</w:t>
            </w:r>
          </w:p>
        </w:tc>
        <w:tc>
          <w:tcPr>
            <w:tcW w:w="5971" w:type="dxa"/>
            <w:gridSpan w:val="3"/>
            <w:vAlign w:val="center"/>
          </w:tcPr>
          <w:p w14:paraId="703F7A9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防水层有渗漏或积水现象的</w:t>
            </w:r>
          </w:p>
        </w:tc>
        <w:tc>
          <w:tcPr>
            <w:tcW w:w="1547" w:type="dxa"/>
            <w:vAlign w:val="center"/>
          </w:tcPr>
          <w:p w14:paraId="0F683C2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1D03D3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FE4E5B9">
            <w:pPr>
              <w:spacing w:line="400" w:lineRule="exact"/>
              <w:rPr>
                <w:rFonts w:ascii="仿宋" w:hAnsi="仿宋" w:eastAsia="仿宋" w:cs="宋体"/>
                <w:color w:val="auto"/>
                <w:kern w:val="0"/>
                <w:sz w:val="20"/>
                <w:szCs w:val="21"/>
                <w:highlight w:val="none"/>
              </w:rPr>
            </w:pPr>
          </w:p>
        </w:tc>
        <w:tc>
          <w:tcPr>
            <w:tcW w:w="616" w:type="dxa"/>
            <w:vAlign w:val="center"/>
          </w:tcPr>
          <w:p w14:paraId="030EE62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87</w:t>
            </w:r>
          </w:p>
        </w:tc>
        <w:tc>
          <w:tcPr>
            <w:tcW w:w="5971" w:type="dxa"/>
            <w:gridSpan w:val="3"/>
            <w:vAlign w:val="center"/>
          </w:tcPr>
          <w:p w14:paraId="455765C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防水层在天沟、檐口、水落口、泛水、变形缝和伸出屋面管道的防水构造不符合设计要求的</w:t>
            </w:r>
          </w:p>
        </w:tc>
        <w:tc>
          <w:tcPr>
            <w:tcW w:w="1547" w:type="dxa"/>
            <w:vAlign w:val="center"/>
          </w:tcPr>
          <w:p w14:paraId="10E1121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6CBA0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E9AB39B">
            <w:pPr>
              <w:spacing w:line="400" w:lineRule="exact"/>
              <w:rPr>
                <w:rFonts w:ascii="仿宋" w:hAnsi="仿宋" w:eastAsia="仿宋" w:cs="宋体"/>
                <w:color w:val="auto"/>
                <w:kern w:val="0"/>
                <w:sz w:val="20"/>
                <w:szCs w:val="21"/>
                <w:highlight w:val="none"/>
              </w:rPr>
            </w:pPr>
          </w:p>
        </w:tc>
        <w:tc>
          <w:tcPr>
            <w:tcW w:w="616" w:type="dxa"/>
            <w:vAlign w:val="center"/>
          </w:tcPr>
          <w:p w14:paraId="06E6EE5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88</w:t>
            </w:r>
          </w:p>
        </w:tc>
        <w:tc>
          <w:tcPr>
            <w:tcW w:w="5971" w:type="dxa"/>
            <w:gridSpan w:val="3"/>
            <w:vAlign w:val="center"/>
          </w:tcPr>
          <w:p w14:paraId="70BEDE7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防水层施工不符合规范规定要求的</w:t>
            </w:r>
          </w:p>
        </w:tc>
        <w:tc>
          <w:tcPr>
            <w:tcW w:w="1547" w:type="dxa"/>
            <w:vAlign w:val="center"/>
          </w:tcPr>
          <w:p w14:paraId="7FFA122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04302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B8E0553">
            <w:pPr>
              <w:spacing w:line="400" w:lineRule="exact"/>
              <w:rPr>
                <w:rFonts w:ascii="仿宋" w:hAnsi="仿宋" w:eastAsia="仿宋" w:cs="宋体"/>
                <w:color w:val="auto"/>
                <w:kern w:val="0"/>
                <w:sz w:val="20"/>
                <w:szCs w:val="21"/>
                <w:highlight w:val="none"/>
              </w:rPr>
            </w:pPr>
          </w:p>
        </w:tc>
        <w:tc>
          <w:tcPr>
            <w:tcW w:w="616" w:type="dxa"/>
            <w:vAlign w:val="center"/>
          </w:tcPr>
          <w:p w14:paraId="5757524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89</w:t>
            </w:r>
          </w:p>
        </w:tc>
        <w:tc>
          <w:tcPr>
            <w:tcW w:w="5971" w:type="dxa"/>
            <w:gridSpan w:val="3"/>
            <w:vAlign w:val="center"/>
          </w:tcPr>
          <w:p w14:paraId="6029387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防水层的厚度不符合设计要求或规范规定</w:t>
            </w:r>
          </w:p>
        </w:tc>
        <w:tc>
          <w:tcPr>
            <w:tcW w:w="1547" w:type="dxa"/>
            <w:vAlign w:val="center"/>
          </w:tcPr>
          <w:p w14:paraId="476D489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01DA2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8EE0500">
            <w:pPr>
              <w:spacing w:line="400" w:lineRule="exact"/>
              <w:rPr>
                <w:rFonts w:ascii="仿宋" w:hAnsi="仿宋" w:eastAsia="仿宋" w:cs="宋体"/>
                <w:color w:val="auto"/>
                <w:kern w:val="0"/>
                <w:sz w:val="20"/>
                <w:szCs w:val="21"/>
                <w:highlight w:val="none"/>
              </w:rPr>
            </w:pPr>
          </w:p>
        </w:tc>
        <w:tc>
          <w:tcPr>
            <w:tcW w:w="616" w:type="dxa"/>
            <w:vAlign w:val="center"/>
          </w:tcPr>
          <w:p w14:paraId="48F1A2A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90</w:t>
            </w:r>
          </w:p>
        </w:tc>
        <w:tc>
          <w:tcPr>
            <w:tcW w:w="5971" w:type="dxa"/>
            <w:gridSpan w:val="3"/>
            <w:vAlign w:val="center"/>
          </w:tcPr>
          <w:p w14:paraId="7EDF6E8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屋面工程完工后未进行淋水或储水检验</w:t>
            </w:r>
          </w:p>
        </w:tc>
        <w:tc>
          <w:tcPr>
            <w:tcW w:w="1547" w:type="dxa"/>
            <w:vAlign w:val="center"/>
          </w:tcPr>
          <w:p w14:paraId="7C47BF0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2000元/次</w:t>
            </w:r>
          </w:p>
        </w:tc>
      </w:tr>
      <w:tr w14:paraId="6AA05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85FE071">
            <w:pPr>
              <w:spacing w:line="400" w:lineRule="exact"/>
              <w:rPr>
                <w:rFonts w:ascii="仿宋" w:hAnsi="仿宋" w:eastAsia="仿宋" w:cs="宋体"/>
                <w:color w:val="auto"/>
                <w:kern w:val="0"/>
                <w:sz w:val="20"/>
                <w:szCs w:val="21"/>
                <w:highlight w:val="none"/>
              </w:rPr>
            </w:pPr>
          </w:p>
        </w:tc>
        <w:tc>
          <w:tcPr>
            <w:tcW w:w="616" w:type="dxa"/>
            <w:vAlign w:val="center"/>
          </w:tcPr>
          <w:p w14:paraId="2B753F3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91</w:t>
            </w:r>
          </w:p>
        </w:tc>
        <w:tc>
          <w:tcPr>
            <w:tcW w:w="5971" w:type="dxa"/>
            <w:gridSpan w:val="3"/>
            <w:vAlign w:val="center"/>
          </w:tcPr>
          <w:p w14:paraId="6D106F6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密封材料嵌填不密实、连续、饱满、粘结牢固：有气泡、开裂、脱落等缺陷的</w:t>
            </w:r>
          </w:p>
        </w:tc>
        <w:tc>
          <w:tcPr>
            <w:tcW w:w="1547" w:type="dxa"/>
            <w:vAlign w:val="center"/>
          </w:tcPr>
          <w:p w14:paraId="52EA2A0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A328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2A153CC">
            <w:pPr>
              <w:spacing w:line="400" w:lineRule="exact"/>
              <w:rPr>
                <w:rFonts w:ascii="仿宋" w:hAnsi="仿宋" w:eastAsia="仿宋" w:cs="宋体"/>
                <w:color w:val="auto"/>
                <w:kern w:val="0"/>
                <w:sz w:val="20"/>
                <w:szCs w:val="21"/>
                <w:highlight w:val="none"/>
              </w:rPr>
            </w:pPr>
          </w:p>
        </w:tc>
        <w:tc>
          <w:tcPr>
            <w:tcW w:w="616" w:type="dxa"/>
            <w:vAlign w:val="center"/>
          </w:tcPr>
          <w:p w14:paraId="0D57F23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92</w:t>
            </w:r>
          </w:p>
        </w:tc>
        <w:tc>
          <w:tcPr>
            <w:tcW w:w="5971" w:type="dxa"/>
            <w:gridSpan w:val="3"/>
            <w:vAlign w:val="center"/>
          </w:tcPr>
          <w:p w14:paraId="13F596F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金属板材的连接和密封处理不符合设计要求，有渗漏现象的</w:t>
            </w:r>
          </w:p>
        </w:tc>
        <w:tc>
          <w:tcPr>
            <w:tcW w:w="1547" w:type="dxa"/>
            <w:vAlign w:val="center"/>
          </w:tcPr>
          <w:p w14:paraId="2ADBE82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3581E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0FE7615">
            <w:pPr>
              <w:spacing w:line="400" w:lineRule="exact"/>
              <w:rPr>
                <w:rFonts w:ascii="仿宋" w:hAnsi="仿宋" w:eastAsia="仿宋" w:cs="宋体"/>
                <w:color w:val="auto"/>
                <w:kern w:val="0"/>
                <w:sz w:val="20"/>
                <w:szCs w:val="21"/>
                <w:highlight w:val="none"/>
              </w:rPr>
            </w:pPr>
          </w:p>
        </w:tc>
        <w:tc>
          <w:tcPr>
            <w:tcW w:w="616" w:type="dxa"/>
            <w:vAlign w:val="center"/>
          </w:tcPr>
          <w:p w14:paraId="728208D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93</w:t>
            </w:r>
          </w:p>
        </w:tc>
        <w:tc>
          <w:tcPr>
            <w:tcW w:w="5971" w:type="dxa"/>
            <w:gridSpan w:val="3"/>
            <w:vAlign w:val="center"/>
          </w:tcPr>
          <w:p w14:paraId="7B19A9C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平瓦铺置不牢固：地震设防地区域坡度大于50%的屋面未采取固定加强措施</w:t>
            </w:r>
          </w:p>
        </w:tc>
        <w:tc>
          <w:tcPr>
            <w:tcW w:w="1547" w:type="dxa"/>
            <w:vAlign w:val="center"/>
          </w:tcPr>
          <w:p w14:paraId="12B1387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48E404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746DD2D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装饰装修工程</w:t>
            </w:r>
          </w:p>
        </w:tc>
        <w:tc>
          <w:tcPr>
            <w:tcW w:w="616" w:type="dxa"/>
            <w:vAlign w:val="center"/>
          </w:tcPr>
          <w:p w14:paraId="4DF8659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94</w:t>
            </w:r>
          </w:p>
        </w:tc>
        <w:tc>
          <w:tcPr>
            <w:tcW w:w="5971" w:type="dxa"/>
            <w:gridSpan w:val="3"/>
            <w:vAlign w:val="center"/>
          </w:tcPr>
          <w:p w14:paraId="33729A2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建筑装饰装修工程所用材料的品种，规格和质量不符合设计要求和国家现行标准的规定，使用国家明令淘汰的材料</w:t>
            </w:r>
          </w:p>
        </w:tc>
        <w:tc>
          <w:tcPr>
            <w:tcW w:w="1547" w:type="dxa"/>
            <w:vAlign w:val="center"/>
          </w:tcPr>
          <w:p w14:paraId="5F37C55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2000元/次</w:t>
            </w:r>
          </w:p>
        </w:tc>
      </w:tr>
      <w:tr w14:paraId="2B5DB1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AD515D0">
            <w:pPr>
              <w:spacing w:line="400" w:lineRule="exact"/>
              <w:rPr>
                <w:rFonts w:ascii="仿宋" w:hAnsi="仿宋" w:eastAsia="仿宋" w:cs="宋体"/>
                <w:color w:val="auto"/>
                <w:kern w:val="0"/>
                <w:sz w:val="20"/>
                <w:szCs w:val="21"/>
                <w:highlight w:val="none"/>
              </w:rPr>
            </w:pPr>
          </w:p>
        </w:tc>
        <w:tc>
          <w:tcPr>
            <w:tcW w:w="616" w:type="dxa"/>
            <w:vAlign w:val="center"/>
          </w:tcPr>
          <w:p w14:paraId="0BC664C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95</w:t>
            </w:r>
          </w:p>
        </w:tc>
        <w:tc>
          <w:tcPr>
            <w:tcW w:w="5971" w:type="dxa"/>
            <w:gridSpan w:val="3"/>
            <w:vAlign w:val="center"/>
          </w:tcPr>
          <w:p w14:paraId="39D8141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建筑装饰装修工程所使用材料未按设计要求进行防火，防腐和防虫处理</w:t>
            </w:r>
          </w:p>
        </w:tc>
        <w:tc>
          <w:tcPr>
            <w:tcW w:w="1547" w:type="dxa"/>
            <w:vAlign w:val="center"/>
          </w:tcPr>
          <w:p w14:paraId="150A070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30E5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1E298C1">
            <w:pPr>
              <w:spacing w:line="400" w:lineRule="exact"/>
              <w:rPr>
                <w:rFonts w:ascii="仿宋" w:hAnsi="仿宋" w:eastAsia="仿宋" w:cs="宋体"/>
                <w:color w:val="auto"/>
                <w:kern w:val="0"/>
                <w:sz w:val="20"/>
                <w:szCs w:val="21"/>
                <w:highlight w:val="none"/>
              </w:rPr>
            </w:pPr>
          </w:p>
        </w:tc>
        <w:tc>
          <w:tcPr>
            <w:tcW w:w="616" w:type="dxa"/>
            <w:vAlign w:val="center"/>
          </w:tcPr>
          <w:p w14:paraId="73A5D23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96</w:t>
            </w:r>
          </w:p>
        </w:tc>
        <w:tc>
          <w:tcPr>
            <w:tcW w:w="5971" w:type="dxa"/>
            <w:gridSpan w:val="3"/>
            <w:vAlign w:val="center"/>
          </w:tcPr>
          <w:p w14:paraId="6B69F77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建筑装饰装修工程施工中，违反设计文件擅自改动建筑主体，承重结构或主要使用功能，擅自拆改水、暖、电、燃气、通讯等配套设施</w:t>
            </w:r>
          </w:p>
        </w:tc>
        <w:tc>
          <w:tcPr>
            <w:tcW w:w="1547" w:type="dxa"/>
            <w:vAlign w:val="center"/>
          </w:tcPr>
          <w:p w14:paraId="2EBD983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4CAF7B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AB9C678">
            <w:pPr>
              <w:spacing w:line="400" w:lineRule="exact"/>
              <w:rPr>
                <w:rFonts w:ascii="仿宋" w:hAnsi="仿宋" w:eastAsia="仿宋" w:cs="宋体"/>
                <w:color w:val="auto"/>
                <w:kern w:val="0"/>
                <w:sz w:val="20"/>
                <w:szCs w:val="21"/>
                <w:highlight w:val="none"/>
              </w:rPr>
            </w:pPr>
          </w:p>
        </w:tc>
        <w:tc>
          <w:tcPr>
            <w:tcW w:w="616" w:type="dxa"/>
            <w:vAlign w:val="center"/>
          </w:tcPr>
          <w:p w14:paraId="5C6A893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97</w:t>
            </w:r>
          </w:p>
        </w:tc>
        <w:tc>
          <w:tcPr>
            <w:tcW w:w="5971" w:type="dxa"/>
            <w:gridSpan w:val="3"/>
            <w:vAlign w:val="center"/>
          </w:tcPr>
          <w:p w14:paraId="4DB9F29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抹灰工程未分层进行：抹灰总厚度大于或等于35mm时，不同材料基体交接处表面的抹灰未采取防止开裂的加强措施，或措施不符合要求</w:t>
            </w:r>
          </w:p>
        </w:tc>
        <w:tc>
          <w:tcPr>
            <w:tcW w:w="1547" w:type="dxa"/>
            <w:vAlign w:val="center"/>
          </w:tcPr>
          <w:p w14:paraId="547A17C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02111F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ACAEB21">
            <w:pPr>
              <w:spacing w:line="400" w:lineRule="exact"/>
              <w:rPr>
                <w:rFonts w:ascii="仿宋" w:hAnsi="仿宋" w:eastAsia="仿宋" w:cs="宋体"/>
                <w:color w:val="auto"/>
                <w:kern w:val="0"/>
                <w:sz w:val="20"/>
                <w:szCs w:val="21"/>
                <w:highlight w:val="none"/>
              </w:rPr>
            </w:pPr>
          </w:p>
        </w:tc>
        <w:tc>
          <w:tcPr>
            <w:tcW w:w="616" w:type="dxa"/>
            <w:vAlign w:val="center"/>
          </w:tcPr>
          <w:p w14:paraId="0215D27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98</w:t>
            </w:r>
          </w:p>
        </w:tc>
        <w:tc>
          <w:tcPr>
            <w:tcW w:w="5971" w:type="dxa"/>
            <w:gridSpan w:val="3"/>
            <w:vAlign w:val="center"/>
          </w:tcPr>
          <w:p w14:paraId="32A2E06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抹灰工程总厚度大于或等于35mm时，未采取加强措昔施，不同材料在基体交接处的加强措施未进行隐蔽验收的</w:t>
            </w:r>
          </w:p>
        </w:tc>
        <w:tc>
          <w:tcPr>
            <w:tcW w:w="1547" w:type="dxa"/>
            <w:vAlign w:val="center"/>
          </w:tcPr>
          <w:p w14:paraId="130EF9E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38EB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1864854">
            <w:pPr>
              <w:spacing w:line="400" w:lineRule="exact"/>
              <w:rPr>
                <w:rFonts w:ascii="仿宋" w:hAnsi="仿宋" w:eastAsia="仿宋" w:cs="宋体"/>
                <w:color w:val="auto"/>
                <w:kern w:val="0"/>
                <w:sz w:val="20"/>
                <w:szCs w:val="21"/>
                <w:highlight w:val="none"/>
              </w:rPr>
            </w:pPr>
          </w:p>
        </w:tc>
        <w:tc>
          <w:tcPr>
            <w:tcW w:w="616" w:type="dxa"/>
            <w:vAlign w:val="center"/>
          </w:tcPr>
          <w:p w14:paraId="148237F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99</w:t>
            </w:r>
          </w:p>
        </w:tc>
        <w:tc>
          <w:tcPr>
            <w:tcW w:w="5971" w:type="dxa"/>
            <w:gridSpan w:val="3"/>
            <w:vAlign w:val="center"/>
          </w:tcPr>
          <w:p w14:paraId="3D66E40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柱、墙、顶棚的灰层与基层之间及备抹灰层之间粘结不牢固</w:t>
            </w:r>
          </w:p>
        </w:tc>
        <w:tc>
          <w:tcPr>
            <w:tcW w:w="1547" w:type="dxa"/>
            <w:vAlign w:val="center"/>
          </w:tcPr>
          <w:p w14:paraId="0FC0736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2E01E1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8A110DD">
            <w:pPr>
              <w:spacing w:line="400" w:lineRule="exact"/>
              <w:rPr>
                <w:rFonts w:ascii="仿宋" w:hAnsi="仿宋" w:eastAsia="仿宋" w:cs="宋体"/>
                <w:color w:val="auto"/>
                <w:kern w:val="0"/>
                <w:sz w:val="20"/>
                <w:szCs w:val="21"/>
                <w:highlight w:val="none"/>
              </w:rPr>
            </w:pPr>
          </w:p>
        </w:tc>
        <w:tc>
          <w:tcPr>
            <w:tcW w:w="616" w:type="dxa"/>
            <w:vAlign w:val="center"/>
          </w:tcPr>
          <w:p w14:paraId="0D4A46E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w:t>
            </w:r>
          </w:p>
        </w:tc>
        <w:tc>
          <w:tcPr>
            <w:tcW w:w="5971" w:type="dxa"/>
            <w:gridSpan w:val="3"/>
            <w:vAlign w:val="center"/>
          </w:tcPr>
          <w:p w14:paraId="5D81FE5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抹灰前基层表面的尘上、污垢、油渍等未清除干净，未酒水润湿</w:t>
            </w:r>
          </w:p>
        </w:tc>
        <w:tc>
          <w:tcPr>
            <w:tcW w:w="1547" w:type="dxa"/>
            <w:vAlign w:val="center"/>
          </w:tcPr>
          <w:p w14:paraId="29C61D8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4BFF55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0C72EC5">
            <w:pPr>
              <w:spacing w:line="400" w:lineRule="exact"/>
              <w:rPr>
                <w:rFonts w:ascii="仿宋" w:hAnsi="仿宋" w:eastAsia="仿宋" w:cs="宋体"/>
                <w:color w:val="auto"/>
                <w:kern w:val="0"/>
                <w:sz w:val="20"/>
                <w:szCs w:val="21"/>
                <w:highlight w:val="none"/>
              </w:rPr>
            </w:pPr>
          </w:p>
        </w:tc>
        <w:tc>
          <w:tcPr>
            <w:tcW w:w="616" w:type="dxa"/>
            <w:vAlign w:val="center"/>
          </w:tcPr>
          <w:p w14:paraId="6B09759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101</w:t>
            </w:r>
          </w:p>
        </w:tc>
        <w:tc>
          <w:tcPr>
            <w:tcW w:w="5971" w:type="dxa"/>
            <w:gridSpan w:val="3"/>
            <w:vAlign w:val="center"/>
          </w:tcPr>
          <w:p w14:paraId="239B9BE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抹灰所用材料的品种性能不符合设计要求：水泥的凝结时间和安100定性未经复检或复检不合格：砂浆配合比不符合设计要求的</w:t>
            </w:r>
          </w:p>
        </w:tc>
        <w:tc>
          <w:tcPr>
            <w:tcW w:w="1547" w:type="dxa"/>
            <w:vAlign w:val="center"/>
          </w:tcPr>
          <w:p w14:paraId="5B37FB4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1CF358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9914ED5">
            <w:pPr>
              <w:spacing w:line="400" w:lineRule="exact"/>
              <w:rPr>
                <w:rFonts w:ascii="仿宋" w:hAnsi="仿宋" w:eastAsia="仿宋" w:cs="宋体"/>
                <w:color w:val="auto"/>
                <w:kern w:val="0"/>
                <w:sz w:val="20"/>
                <w:szCs w:val="21"/>
                <w:highlight w:val="none"/>
              </w:rPr>
            </w:pPr>
          </w:p>
        </w:tc>
        <w:tc>
          <w:tcPr>
            <w:tcW w:w="616" w:type="dxa"/>
            <w:vAlign w:val="center"/>
          </w:tcPr>
          <w:p w14:paraId="59E836C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102</w:t>
            </w:r>
          </w:p>
        </w:tc>
        <w:tc>
          <w:tcPr>
            <w:tcW w:w="5971" w:type="dxa"/>
            <w:gridSpan w:val="3"/>
            <w:vAlign w:val="center"/>
          </w:tcPr>
          <w:p w14:paraId="1C03B6E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抹灰层脱层，空鼓、面居爆灰和裂缝的</w:t>
            </w:r>
          </w:p>
        </w:tc>
        <w:tc>
          <w:tcPr>
            <w:tcW w:w="1547" w:type="dxa"/>
            <w:vAlign w:val="center"/>
          </w:tcPr>
          <w:p w14:paraId="45834AF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E7027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4A2B1F6">
            <w:pPr>
              <w:spacing w:line="400" w:lineRule="exact"/>
              <w:rPr>
                <w:rFonts w:ascii="仿宋" w:hAnsi="仿宋" w:eastAsia="仿宋" w:cs="宋体"/>
                <w:color w:val="auto"/>
                <w:kern w:val="0"/>
                <w:sz w:val="20"/>
                <w:szCs w:val="21"/>
                <w:highlight w:val="none"/>
              </w:rPr>
            </w:pPr>
          </w:p>
        </w:tc>
        <w:tc>
          <w:tcPr>
            <w:tcW w:w="616" w:type="dxa"/>
            <w:vAlign w:val="center"/>
          </w:tcPr>
          <w:p w14:paraId="009742C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103</w:t>
            </w:r>
          </w:p>
        </w:tc>
        <w:tc>
          <w:tcPr>
            <w:tcW w:w="5971" w:type="dxa"/>
            <w:gridSpan w:val="3"/>
            <w:vAlign w:val="center"/>
          </w:tcPr>
          <w:p w14:paraId="0C0219C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门窗工程未对预埋件，错固件，部位的腐填嵌处理进行验收</w:t>
            </w:r>
          </w:p>
        </w:tc>
        <w:tc>
          <w:tcPr>
            <w:tcW w:w="1547" w:type="dxa"/>
            <w:vAlign w:val="center"/>
          </w:tcPr>
          <w:p w14:paraId="1A5868A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B4A16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5DF103F">
            <w:pPr>
              <w:spacing w:line="400" w:lineRule="exact"/>
              <w:rPr>
                <w:rFonts w:ascii="仿宋" w:hAnsi="仿宋" w:eastAsia="仿宋" w:cs="宋体"/>
                <w:color w:val="auto"/>
                <w:kern w:val="0"/>
                <w:sz w:val="20"/>
                <w:szCs w:val="21"/>
                <w:highlight w:val="none"/>
              </w:rPr>
            </w:pPr>
          </w:p>
        </w:tc>
        <w:tc>
          <w:tcPr>
            <w:tcW w:w="616" w:type="dxa"/>
            <w:vAlign w:val="center"/>
          </w:tcPr>
          <w:p w14:paraId="20C8D3F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104</w:t>
            </w:r>
          </w:p>
        </w:tc>
        <w:tc>
          <w:tcPr>
            <w:tcW w:w="5971" w:type="dxa"/>
            <w:gridSpan w:val="3"/>
            <w:vAlign w:val="center"/>
          </w:tcPr>
          <w:p w14:paraId="0E27A56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在砌体上安装门窗用射钉固定</w:t>
            </w:r>
          </w:p>
        </w:tc>
        <w:tc>
          <w:tcPr>
            <w:tcW w:w="1547" w:type="dxa"/>
            <w:vAlign w:val="center"/>
          </w:tcPr>
          <w:p w14:paraId="2021D97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372402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9996FB0">
            <w:pPr>
              <w:spacing w:line="400" w:lineRule="exact"/>
              <w:rPr>
                <w:rFonts w:ascii="仿宋" w:hAnsi="仿宋" w:eastAsia="仿宋" w:cs="宋体"/>
                <w:color w:val="auto"/>
                <w:kern w:val="0"/>
                <w:sz w:val="20"/>
                <w:szCs w:val="21"/>
                <w:highlight w:val="none"/>
              </w:rPr>
            </w:pPr>
          </w:p>
        </w:tc>
        <w:tc>
          <w:tcPr>
            <w:tcW w:w="616" w:type="dxa"/>
            <w:vAlign w:val="center"/>
          </w:tcPr>
          <w:p w14:paraId="5AD14CE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105</w:t>
            </w:r>
          </w:p>
        </w:tc>
        <w:tc>
          <w:tcPr>
            <w:tcW w:w="5971" w:type="dxa"/>
            <w:gridSpan w:val="3"/>
            <w:vAlign w:val="center"/>
          </w:tcPr>
          <w:p w14:paraId="3BD9F57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金属门窗的品种，类型，规格、只寸，性能，开启方向、安装位置、及铝合金门窗型材的壁厚不符合设计要求</w:t>
            </w:r>
          </w:p>
        </w:tc>
        <w:tc>
          <w:tcPr>
            <w:tcW w:w="1547" w:type="dxa"/>
            <w:vAlign w:val="center"/>
          </w:tcPr>
          <w:p w14:paraId="5EC35CB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4A895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5B20627">
            <w:pPr>
              <w:spacing w:line="400" w:lineRule="exact"/>
              <w:rPr>
                <w:rFonts w:ascii="仿宋" w:hAnsi="仿宋" w:eastAsia="仿宋" w:cs="宋体"/>
                <w:color w:val="auto"/>
                <w:kern w:val="0"/>
                <w:sz w:val="20"/>
                <w:szCs w:val="21"/>
                <w:highlight w:val="none"/>
              </w:rPr>
            </w:pPr>
          </w:p>
        </w:tc>
        <w:tc>
          <w:tcPr>
            <w:tcW w:w="616" w:type="dxa"/>
            <w:vAlign w:val="center"/>
          </w:tcPr>
          <w:p w14:paraId="05B3BE2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106</w:t>
            </w:r>
          </w:p>
        </w:tc>
        <w:tc>
          <w:tcPr>
            <w:tcW w:w="5971" w:type="dxa"/>
            <w:gridSpan w:val="3"/>
            <w:vAlign w:val="center"/>
          </w:tcPr>
          <w:p w14:paraId="7F066FE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门窗框、副框及窗扇安装不牢固：预埋的数量、位置、埋方式与框的连接方式不符合设计要求：门开关不灵活、不严密：推拉窗扇无防滑落措施的</w:t>
            </w:r>
          </w:p>
        </w:tc>
        <w:tc>
          <w:tcPr>
            <w:tcW w:w="1547" w:type="dxa"/>
            <w:vAlign w:val="center"/>
          </w:tcPr>
          <w:p w14:paraId="2EF2166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3A6A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9D3BE29">
            <w:pPr>
              <w:spacing w:line="400" w:lineRule="exact"/>
              <w:rPr>
                <w:rFonts w:ascii="仿宋" w:hAnsi="仿宋" w:eastAsia="仿宋" w:cs="宋体"/>
                <w:color w:val="auto"/>
                <w:kern w:val="0"/>
                <w:sz w:val="20"/>
                <w:szCs w:val="21"/>
                <w:highlight w:val="none"/>
              </w:rPr>
            </w:pPr>
          </w:p>
        </w:tc>
        <w:tc>
          <w:tcPr>
            <w:tcW w:w="616" w:type="dxa"/>
            <w:vAlign w:val="center"/>
          </w:tcPr>
          <w:p w14:paraId="7A7FCC7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107</w:t>
            </w:r>
          </w:p>
        </w:tc>
        <w:tc>
          <w:tcPr>
            <w:tcW w:w="5971" w:type="dxa"/>
            <w:gridSpan w:val="3"/>
            <w:vAlign w:val="center"/>
          </w:tcPr>
          <w:p w14:paraId="04725D4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玻璃的品种、规格、尺寸，色彩、图案和涂抹朝向不符合要求</w:t>
            </w:r>
          </w:p>
        </w:tc>
        <w:tc>
          <w:tcPr>
            <w:tcW w:w="1547" w:type="dxa"/>
            <w:vAlign w:val="center"/>
          </w:tcPr>
          <w:p w14:paraId="0BA6E2D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50F5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CA9C946">
            <w:pPr>
              <w:spacing w:line="400" w:lineRule="exact"/>
              <w:rPr>
                <w:rFonts w:ascii="仿宋" w:hAnsi="仿宋" w:eastAsia="仿宋" w:cs="宋体"/>
                <w:color w:val="auto"/>
                <w:kern w:val="0"/>
                <w:sz w:val="20"/>
                <w:szCs w:val="21"/>
                <w:highlight w:val="none"/>
              </w:rPr>
            </w:pPr>
          </w:p>
        </w:tc>
        <w:tc>
          <w:tcPr>
            <w:tcW w:w="616" w:type="dxa"/>
            <w:vAlign w:val="center"/>
          </w:tcPr>
          <w:p w14:paraId="46D729E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108</w:t>
            </w:r>
          </w:p>
        </w:tc>
        <w:tc>
          <w:tcPr>
            <w:tcW w:w="5971" w:type="dxa"/>
            <w:gridSpan w:val="3"/>
            <w:vAlign w:val="center"/>
          </w:tcPr>
          <w:p w14:paraId="39CF08B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吊顶工程未对其内木龙骨进行防火、防腐处理、预埋件、吊龙骨安装等项目进行隐蔽验收的</w:t>
            </w:r>
          </w:p>
        </w:tc>
        <w:tc>
          <w:tcPr>
            <w:tcW w:w="1547" w:type="dxa"/>
            <w:vAlign w:val="center"/>
          </w:tcPr>
          <w:p w14:paraId="6F6B3D7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357EF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2FDBD87">
            <w:pPr>
              <w:spacing w:line="400" w:lineRule="exact"/>
              <w:rPr>
                <w:rFonts w:ascii="仿宋" w:hAnsi="仿宋" w:eastAsia="仿宋" w:cs="宋体"/>
                <w:color w:val="auto"/>
                <w:kern w:val="0"/>
                <w:sz w:val="20"/>
                <w:szCs w:val="21"/>
                <w:highlight w:val="none"/>
              </w:rPr>
            </w:pPr>
          </w:p>
        </w:tc>
        <w:tc>
          <w:tcPr>
            <w:tcW w:w="616" w:type="dxa"/>
            <w:vAlign w:val="center"/>
          </w:tcPr>
          <w:p w14:paraId="6715FE5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109</w:t>
            </w:r>
          </w:p>
        </w:tc>
        <w:tc>
          <w:tcPr>
            <w:tcW w:w="5971" w:type="dxa"/>
            <w:gridSpan w:val="3"/>
            <w:vAlign w:val="center"/>
          </w:tcPr>
          <w:p w14:paraId="7146262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重型灯具，电扇及其它重型设备安装在吊顶工程的龙骨上的</w:t>
            </w:r>
          </w:p>
        </w:tc>
        <w:tc>
          <w:tcPr>
            <w:tcW w:w="1547" w:type="dxa"/>
            <w:vAlign w:val="center"/>
          </w:tcPr>
          <w:p w14:paraId="74F4E27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3F2C6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FF781CA">
            <w:pPr>
              <w:spacing w:line="400" w:lineRule="exact"/>
              <w:rPr>
                <w:rFonts w:ascii="仿宋" w:hAnsi="仿宋" w:eastAsia="仿宋" w:cs="宋体"/>
                <w:color w:val="auto"/>
                <w:kern w:val="0"/>
                <w:sz w:val="20"/>
                <w:szCs w:val="21"/>
                <w:highlight w:val="none"/>
              </w:rPr>
            </w:pPr>
          </w:p>
        </w:tc>
        <w:tc>
          <w:tcPr>
            <w:tcW w:w="616" w:type="dxa"/>
            <w:vAlign w:val="center"/>
          </w:tcPr>
          <w:p w14:paraId="4787937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110</w:t>
            </w:r>
          </w:p>
        </w:tc>
        <w:tc>
          <w:tcPr>
            <w:tcW w:w="5971" w:type="dxa"/>
            <w:gridSpan w:val="3"/>
            <w:vAlign w:val="center"/>
          </w:tcPr>
          <w:p w14:paraId="58A9943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吊顶工程的吊杆，龙骨，饰面材料的安装不牢固的</w:t>
            </w:r>
          </w:p>
        </w:tc>
        <w:tc>
          <w:tcPr>
            <w:tcW w:w="1547" w:type="dxa"/>
            <w:vAlign w:val="center"/>
          </w:tcPr>
          <w:p w14:paraId="48E3F75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75A15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3665460">
            <w:pPr>
              <w:spacing w:line="400" w:lineRule="exact"/>
              <w:rPr>
                <w:rFonts w:ascii="仿宋" w:hAnsi="仿宋" w:eastAsia="仿宋" w:cs="宋体"/>
                <w:color w:val="auto"/>
                <w:kern w:val="0"/>
                <w:sz w:val="20"/>
                <w:szCs w:val="21"/>
                <w:highlight w:val="none"/>
              </w:rPr>
            </w:pPr>
          </w:p>
        </w:tc>
        <w:tc>
          <w:tcPr>
            <w:tcW w:w="616" w:type="dxa"/>
            <w:vAlign w:val="center"/>
          </w:tcPr>
          <w:p w14:paraId="5A75CB0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111</w:t>
            </w:r>
          </w:p>
        </w:tc>
        <w:tc>
          <w:tcPr>
            <w:tcW w:w="5971" w:type="dxa"/>
            <w:gridSpan w:val="3"/>
            <w:vAlign w:val="center"/>
          </w:tcPr>
          <w:p w14:paraId="18B0769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吊顶标高、尺寸、起拱和造型不符合设计要求</w:t>
            </w:r>
          </w:p>
        </w:tc>
        <w:tc>
          <w:tcPr>
            <w:tcW w:w="1547" w:type="dxa"/>
            <w:vAlign w:val="center"/>
          </w:tcPr>
          <w:p w14:paraId="0251064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561475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7DAB034">
            <w:pPr>
              <w:spacing w:line="400" w:lineRule="exact"/>
              <w:rPr>
                <w:rFonts w:ascii="仿宋" w:hAnsi="仿宋" w:eastAsia="仿宋" w:cs="宋体"/>
                <w:color w:val="auto"/>
                <w:kern w:val="0"/>
                <w:sz w:val="20"/>
                <w:szCs w:val="21"/>
                <w:highlight w:val="none"/>
              </w:rPr>
            </w:pPr>
          </w:p>
        </w:tc>
        <w:tc>
          <w:tcPr>
            <w:tcW w:w="616" w:type="dxa"/>
            <w:vAlign w:val="center"/>
          </w:tcPr>
          <w:p w14:paraId="41650E2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112</w:t>
            </w:r>
          </w:p>
        </w:tc>
        <w:tc>
          <w:tcPr>
            <w:tcW w:w="5971" w:type="dxa"/>
            <w:gridSpan w:val="3"/>
            <w:vAlign w:val="center"/>
          </w:tcPr>
          <w:p w14:paraId="7C4A999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饰面板(砖)工程验收时无后置埋件的现场拉拔检测报告，外墙饰面砖样板件的粘结强度检测报告</w:t>
            </w:r>
          </w:p>
        </w:tc>
        <w:tc>
          <w:tcPr>
            <w:tcW w:w="1547" w:type="dxa"/>
            <w:vAlign w:val="center"/>
          </w:tcPr>
          <w:p w14:paraId="758444F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443B6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5CCB24D">
            <w:pPr>
              <w:spacing w:line="400" w:lineRule="exact"/>
              <w:rPr>
                <w:rFonts w:ascii="仿宋" w:hAnsi="仿宋" w:eastAsia="仿宋" w:cs="宋体"/>
                <w:color w:val="auto"/>
                <w:kern w:val="0"/>
                <w:sz w:val="20"/>
                <w:szCs w:val="21"/>
                <w:highlight w:val="none"/>
              </w:rPr>
            </w:pPr>
          </w:p>
        </w:tc>
        <w:tc>
          <w:tcPr>
            <w:tcW w:w="616" w:type="dxa"/>
            <w:vAlign w:val="center"/>
          </w:tcPr>
          <w:p w14:paraId="506D3C7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113</w:t>
            </w:r>
          </w:p>
        </w:tc>
        <w:tc>
          <w:tcPr>
            <w:tcW w:w="5971" w:type="dxa"/>
            <w:gridSpan w:val="3"/>
            <w:vAlign w:val="center"/>
          </w:tcPr>
          <w:p w14:paraId="0D0F46B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饰面板的品种、规格、颜色和性能不符合设计要求</w:t>
            </w:r>
          </w:p>
        </w:tc>
        <w:tc>
          <w:tcPr>
            <w:tcW w:w="1547" w:type="dxa"/>
            <w:vAlign w:val="center"/>
          </w:tcPr>
          <w:p w14:paraId="40692A6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BFF73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7CE132F">
            <w:pPr>
              <w:spacing w:line="400" w:lineRule="exact"/>
              <w:rPr>
                <w:rFonts w:ascii="仿宋" w:hAnsi="仿宋" w:eastAsia="仿宋" w:cs="宋体"/>
                <w:color w:val="auto"/>
                <w:kern w:val="0"/>
                <w:sz w:val="20"/>
                <w:szCs w:val="21"/>
                <w:highlight w:val="none"/>
              </w:rPr>
            </w:pPr>
          </w:p>
        </w:tc>
        <w:tc>
          <w:tcPr>
            <w:tcW w:w="616" w:type="dxa"/>
            <w:vAlign w:val="center"/>
          </w:tcPr>
          <w:p w14:paraId="002821C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114</w:t>
            </w:r>
          </w:p>
        </w:tc>
        <w:tc>
          <w:tcPr>
            <w:tcW w:w="5971" w:type="dxa"/>
            <w:gridSpan w:val="3"/>
            <w:vAlign w:val="center"/>
          </w:tcPr>
          <w:p w14:paraId="4B429F9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饰面板安装工程的预埋件(或后置埋件)，违接件的数量、规格、位置、连接的方法和防腐处理不符合设计要求：后置件的现场拉拔强度不符合设计要求：饰面板安装不牢固</w:t>
            </w:r>
          </w:p>
        </w:tc>
        <w:tc>
          <w:tcPr>
            <w:tcW w:w="1547" w:type="dxa"/>
            <w:vAlign w:val="center"/>
          </w:tcPr>
          <w:p w14:paraId="36F8DD3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89FF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E51EB26">
            <w:pPr>
              <w:spacing w:line="400" w:lineRule="exact"/>
              <w:rPr>
                <w:rFonts w:ascii="仿宋" w:hAnsi="仿宋" w:eastAsia="仿宋" w:cs="宋体"/>
                <w:color w:val="auto"/>
                <w:kern w:val="0"/>
                <w:sz w:val="20"/>
                <w:szCs w:val="21"/>
                <w:highlight w:val="none"/>
              </w:rPr>
            </w:pPr>
          </w:p>
        </w:tc>
        <w:tc>
          <w:tcPr>
            <w:tcW w:w="616" w:type="dxa"/>
            <w:vAlign w:val="center"/>
          </w:tcPr>
          <w:p w14:paraId="03DFA83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115</w:t>
            </w:r>
          </w:p>
        </w:tc>
        <w:tc>
          <w:tcPr>
            <w:tcW w:w="5971" w:type="dxa"/>
            <w:gridSpan w:val="3"/>
            <w:vAlign w:val="center"/>
          </w:tcPr>
          <w:p w14:paraId="7572395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饰面砖的品种、规格、图案、颜色和性能不符合设计要求的</w:t>
            </w:r>
          </w:p>
        </w:tc>
        <w:tc>
          <w:tcPr>
            <w:tcW w:w="1547" w:type="dxa"/>
            <w:vAlign w:val="center"/>
          </w:tcPr>
          <w:p w14:paraId="451CCEA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A5C6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0FA6F9D">
            <w:pPr>
              <w:spacing w:line="400" w:lineRule="exact"/>
              <w:rPr>
                <w:rFonts w:ascii="仿宋" w:hAnsi="仿宋" w:eastAsia="仿宋" w:cs="宋体"/>
                <w:color w:val="auto"/>
                <w:kern w:val="0"/>
                <w:sz w:val="20"/>
                <w:szCs w:val="21"/>
                <w:highlight w:val="none"/>
              </w:rPr>
            </w:pPr>
          </w:p>
        </w:tc>
        <w:tc>
          <w:tcPr>
            <w:tcW w:w="616" w:type="dxa"/>
            <w:vAlign w:val="center"/>
          </w:tcPr>
          <w:p w14:paraId="2DBCD15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116</w:t>
            </w:r>
          </w:p>
        </w:tc>
        <w:tc>
          <w:tcPr>
            <w:tcW w:w="5971" w:type="dxa"/>
            <w:gridSpan w:val="3"/>
            <w:vAlign w:val="center"/>
          </w:tcPr>
          <w:p w14:paraId="3B90457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饰面砖粘贴不牢固的</w:t>
            </w:r>
          </w:p>
        </w:tc>
        <w:tc>
          <w:tcPr>
            <w:tcW w:w="1547" w:type="dxa"/>
            <w:vAlign w:val="center"/>
          </w:tcPr>
          <w:p w14:paraId="11EAE18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7B574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D43FCE1">
            <w:pPr>
              <w:spacing w:line="400" w:lineRule="exact"/>
              <w:rPr>
                <w:rFonts w:ascii="仿宋" w:hAnsi="仿宋" w:eastAsia="仿宋" w:cs="宋体"/>
                <w:color w:val="auto"/>
                <w:kern w:val="0"/>
                <w:sz w:val="20"/>
                <w:szCs w:val="21"/>
                <w:highlight w:val="none"/>
              </w:rPr>
            </w:pPr>
          </w:p>
        </w:tc>
        <w:tc>
          <w:tcPr>
            <w:tcW w:w="616" w:type="dxa"/>
            <w:vAlign w:val="center"/>
          </w:tcPr>
          <w:p w14:paraId="74EE533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117</w:t>
            </w:r>
          </w:p>
        </w:tc>
        <w:tc>
          <w:tcPr>
            <w:tcW w:w="5971" w:type="dxa"/>
            <w:gridSpan w:val="3"/>
            <w:vAlign w:val="center"/>
          </w:tcPr>
          <w:p w14:paraId="35E26DC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粘法施工的饰面砖工程空鼓、裂缝</w:t>
            </w:r>
          </w:p>
        </w:tc>
        <w:tc>
          <w:tcPr>
            <w:tcW w:w="1547" w:type="dxa"/>
            <w:vAlign w:val="center"/>
          </w:tcPr>
          <w:p w14:paraId="3309990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D87A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361DE6F">
            <w:pPr>
              <w:spacing w:line="400" w:lineRule="exact"/>
              <w:rPr>
                <w:rFonts w:ascii="仿宋" w:hAnsi="仿宋" w:eastAsia="仿宋" w:cs="宋体"/>
                <w:color w:val="auto"/>
                <w:kern w:val="0"/>
                <w:sz w:val="20"/>
                <w:szCs w:val="21"/>
                <w:highlight w:val="none"/>
              </w:rPr>
            </w:pPr>
          </w:p>
        </w:tc>
        <w:tc>
          <w:tcPr>
            <w:tcW w:w="616" w:type="dxa"/>
            <w:vAlign w:val="center"/>
          </w:tcPr>
          <w:p w14:paraId="6E14CA5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118</w:t>
            </w:r>
          </w:p>
        </w:tc>
        <w:tc>
          <w:tcPr>
            <w:tcW w:w="5971" w:type="dxa"/>
            <w:gridSpan w:val="3"/>
            <w:vAlign w:val="center"/>
          </w:tcPr>
          <w:p w14:paraId="02A5603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幕墙工程验收时提供的文件和记录不符合规范的要求</w:t>
            </w:r>
          </w:p>
        </w:tc>
        <w:tc>
          <w:tcPr>
            <w:tcW w:w="1547" w:type="dxa"/>
            <w:vAlign w:val="center"/>
          </w:tcPr>
          <w:p w14:paraId="46C8C3C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84C15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A91AD6E">
            <w:pPr>
              <w:spacing w:line="400" w:lineRule="exact"/>
              <w:rPr>
                <w:rFonts w:ascii="仿宋" w:hAnsi="仿宋" w:eastAsia="仿宋" w:cs="宋体"/>
                <w:color w:val="auto"/>
                <w:kern w:val="0"/>
                <w:sz w:val="20"/>
                <w:szCs w:val="21"/>
                <w:highlight w:val="none"/>
              </w:rPr>
            </w:pPr>
          </w:p>
        </w:tc>
        <w:tc>
          <w:tcPr>
            <w:tcW w:w="616" w:type="dxa"/>
            <w:vAlign w:val="center"/>
          </w:tcPr>
          <w:p w14:paraId="5EE1D57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119</w:t>
            </w:r>
          </w:p>
        </w:tc>
        <w:tc>
          <w:tcPr>
            <w:tcW w:w="5971" w:type="dxa"/>
            <w:gridSpan w:val="3"/>
            <w:vAlign w:val="center"/>
          </w:tcPr>
          <w:p w14:paraId="353AAB3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铝塑复合板、石材、玻璃幕墙用结构胶等及其性能指标未进行复验</w:t>
            </w:r>
          </w:p>
        </w:tc>
        <w:tc>
          <w:tcPr>
            <w:tcW w:w="1547" w:type="dxa"/>
            <w:vAlign w:val="center"/>
          </w:tcPr>
          <w:p w14:paraId="4922A55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2FE2C1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C61CABB">
            <w:pPr>
              <w:spacing w:line="400" w:lineRule="exact"/>
              <w:rPr>
                <w:rFonts w:ascii="仿宋" w:hAnsi="仿宋" w:eastAsia="仿宋" w:cs="宋体"/>
                <w:color w:val="auto"/>
                <w:kern w:val="0"/>
                <w:sz w:val="20"/>
                <w:szCs w:val="21"/>
                <w:highlight w:val="none"/>
              </w:rPr>
            </w:pPr>
          </w:p>
        </w:tc>
        <w:tc>
          <w:tcPr>
            <w:tcW w:w="616" w:type="dxa"/>
            <w:vAlign w:val="center"/>
          </w:tcPr>
          <w:p w14:paraId="59F835B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120</w:t>
            </w:r>
          </w:p>
        </w:tc>
        <w:tc>
          <w:tcPr>
            <w:tcW w:w="5971" w:type="dxa"/>
            <w:gridSpan w:val="3"/>
            <w:vAlign w:val="center"/>
          </w:tcPr>
          <w:p w14:paraId="49F221B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隐框、半隐框幕墙所采用的结构粘结材料不具中性硅胴结构密封胶；其性能不符合标准的规定：硅酮结构密封胶未在有效期</w:t>
            </w:r>
          </w:p>
        </w:tc>
        <w:tc>
          <w:tcPr>
            <w:tcW w:w="1547" w:type="dxa"/>
            <w:vAlign w:val="center"/>
          </w:tcPr>
          <w:p w14:paraId="28EB838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4A83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2E7CE8A">
            <w:pPr>
              <w:spacing w:line="400" w:lineRule="exact"/>
              <w:rPr>
                <w:rFonts w:ascii="仿宋" w:hAnsi="仿宋" w:eastAsia="仿宋" w:cs="宋体"/>
                <w:color w:val="auto"/>
                <w:kern w:val="0"/>
                <w:sz w:val="20"/>
                <w:szCs w:val="21"/>
                <w:highlight w:val="none"/>
              </w:rPr>
            </w:pPr>
          </w:p>
        </w:tc>
        <w:tc>
          <w:tcPr>
            <w:tcW w:w="616" w:type="dxa"/>
            <w:vAlign w:val="center"/>
          </w:tcPr>
          <w:p w14:paraId="6D0BA88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121</w:t>
            </w:r>
          </w:p>
        </w:tc>
        <w:tc>
          <w:tcPr>
            <w:tcW w:w="5971" w:type="dxa"/>
            <w:gridSpan w:val="3"/>
            <w:vAlign w:val="center"/>
          </w:tcPr>
          <w:p w14:paraId="119483F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主体结构与幕墙连接的各种预埋件，其规格、位置和防腐处理不符合设计要求</w:t>
            </w:r>
          </w:p>
        </w:tc>
        <w:tc>
          <w:tcPr>
            <w:tcW w:w="1547" w:type="dxa"/>
            <w:vAlign w:val="center"/>
          </w:tcPr>
          <w:p w14:paraId="5F981F2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48044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ECF2949">
            <w:pPr>
              <w:spacing w:line="400" w:lineRule="exact"/>
              <w:rPr>
                <w:rFonts w:ascii="仿宋" w:hAnsi="仿宋" w:eastAsia="仿宋" w:cs="宋体"/>
                <w:color w:val="auto"/>
                <w:kern w:val="0"/>
                <w:sz w:val="20"/>
                <w:szCs w:val="21"/>
                <w:highlight w:val="none"/>
              </w:rPr>
            </w:pPr>
          </w:p>
        </w:tc>
        <w:tc>
          <w:tcPr>
            <w:tcW w:w="616" w:type="dxa"/>
            <w:vAlign w:val="center"/>
          </w:tcPr>
          <w:p w14:paraId="4257B45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122</w:t>
            </w:r>
          </w:p>
        </w:tc>
        <w:tc>
          <w:tcPr>
            <w:tcW w:w="5971" w:type="dxa"/>
            <w:gridSpan w:val="3"/>
            <w:vAlign w:val="center"/>
          </w:tcPr>
          <w:p w14:paraId="77DA676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幕墙的金属框架与主体结构预埋件的连接，立柱与横梁连接及面板的安装不符合设计要求，安装不牢固</w:t>
            </w:r>
          </w:p>
        </w:tc>
        <w:tc>
          <w:tcPr>
            <w:tcW w:w="1547" w:type="dxa"/>
            <w:vAlign w:val="center"/>
          </w:tcPr>
          <w:p w14:paraId="5B79F96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175ED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D1C01E2">
            <w:pPr>
              <w:spacing w:line="400" w:lineRule="exact"/>
              <w:rPr>
                <w:rFonts w:ascii="仿宋" w:hAnsi="仿宋" w:eastAsia="仿宋" w:cs="宋体"/>
                <w:color w:val="auto"/>
                <w:kern w:val="0"/>
                <w:sz w:val="20"/>
                <w:szCs w:val="21"/>
                <w:highlight w:val="none"/>
              </w:rPr>
            </w:pPr>
          </w:p>
        </w:tc>
        <w:tc>
          <w:tcPr>
            <w:tcW w:w="616" w:type="dxa"/>
            <w:vAlign w:val="center"/>
          </w:tcPr>
          <w:p w14:paraId="48227C6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123</w:t>
            </w:r>
          </w:p>
        </w:tc>
        <w:tc>
          <w:tcPr>
            <w:tcW w:w="5971" w:type="dxa"/>
            <w:gridSpan w:val="3"/>
            <w:vAlign w:val="center"/>
          </w:tcPr>
          <w:p w14:paraId="5192946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玻璃幕墙使用的玻璃不符合规范的规定</w:t>
            </w:r>
          </w:p>
        </w:tc>
        <w:tc>
          <w:tcPr>
            <w:tcW w:w="1547" w:type="dxa"/>
            <w:vAlign w:val="center"/>
          </w:tcPr>
          <w:p w14:paraId="49768B5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994D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9D908B8">
            <w:pPr>
              <w:spacing w:line="400" w:lineRule="exact"/>
              <w:rPr>
                <w:rFonts w:ascii="仿宋" w:hAnsi="仿宋" w:eastAsia="仿宋" w:cs="宋体"/>
                <w:color w:val="auto"/>
                <w:kern w:val="0"/>
                <w:sz w:val="20"/>
                <w:szCs w:val="21"/>
                <w:highlight w:val="none"/>
              </w:rPr>
            </w:pPr>
          </w:p>
        </w:tc>
        <w:tc>
          <w:tcPr>
            <w:tcW w:w="616" w:type="dxa"/>
            <w:vAlign w:val="center"/>
          </w:tcPr>
          <w:p w14:paraId="02675C2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124</w:t>
            </w:r>
          </w:p>
        </w:tc>
        <w:tc>
          <w:tcPr>
            <w:tcW w:w="5971" w:type="dxa"/>
            <w:gridSpan w:val="3"/>
            <w:vAlign w:val="center"/>
          </w:tcPr>
          <w:p w14:paraId="426210A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玻璃幕墙渗漏</w:t>
            </w:r>
          </w:p>
        </w:tc>
        <w:tc>
          <w:tcPr>
            <w:tcW w:w="1547" w:type="dxa"/>
            <w:vAlign w:val="center"/>
          </w:tcPr>
          <w:p w14:paraId="0A383BB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4A6EDC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7F11A82">
            <w:pPr>
              <w:spacing w:line="400" w:lineRule="exact"/>
              <w:rPr>
                <w:rFonts w:ascii="仿宋" w:hAnsi="仿宋" w:eastAsia="仿宋" w:cs="宋体"/>
                <w:color w:val="auto"/>
                <w:kern w:val="0"/>
                <w:sz w:val="20"/>
                <w:szCs w:val="21"/>
                <w:highlight w:val="none"/>
              </w:rPr>
            </w:pPr>
          </w:p>
        </w:tc>
        <w:tc>
          <w:tcPr>
            <w:tcW w:w="616" w:type="dxa"/>
            <w:vAlign w:val="center"/>
          </w:tcPr>
          <w:p w14:paraId="539D795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125</w:t>
            </w:r>
          </w:p>
        </w:tc>
        <w:tc>
          <w:tcPr>
            <w:tcW w:w="5971" w:type="dxa"/>
            <w:gridSpan w:val="3"/>
            <w:vAlign w:val="center"/>
          </w:tcPr>
          <w:p w14:paraId="4C5144C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玻璃幕墙的防雷装置与主体结构的防雷裝置可靠连接</w:t>
            </w:r>
          </w:p>
        </w:tc>
        <w:tc>
          <w:tcPr>
            <w:tcW w:w="1547" w:type="dxa"/>
            <w:vAlign w:val="center"/>
          </w:tcPr>
          <w:p w14:paraId="572D056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302B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E619628">
            <w:pPr>
              <w:spacing w:line="400" w:lineRule="exact"/>
              <w:rPr>
                <w:rFonts w:ascii="仿宋" w:hAnsi="仿宋" w:eastAsia="仿宋" w:cs="宋体"/>
                <w:color w:val="auto"/>
                <w:kern w:val="0"/>
                <w:sz w:val="20"/>
                <w:szCs w:val="21"/>
                <w:highlight w:val="none"/>
              </w:rPr>
            </w:pPr>
          </w:p>
        </w:tc>
        <w:tc>
          <w:tcPr>
            <w:tcW w:w="616" w:type="dxa"/>
            <w:vAlign w:val="center"/>
          </w:tcPr>
          <w:p w14:paraId="146C2ED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126</w:t>
            </w:r>
          </w:p>
        </w:tc>
        <w:tc>
          <w:tcPr>
            <w:tcW w:w="5971" w:type="dxa"/>
            <w:gridSpan w:val="3"/>
            <w:vAlign w:val="center"/>
          </w:tcPr>
          <w:p w14:paraId="78B7C7B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涂饰工程所用涂料的品种、型号和性能不符合设计要求，其颜色、500元/处图案不符合设计要求的</w:t>
            </w:r>
          </w:p>
        </w:tc>
        <w:tc>
          <w:tcPr>
            <w:tcW w:w="1547" w:type="dxa"/>
            <w:vAlign w:val="center"/>
          </w:tcPr>
          <w:p w14:paraId="0DEBED8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21A8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3BB61CF">
            <w:pPr>
              <w:spacing w:line="400" w:lineRule="exact"/>
              <w:rPr>
                <w:rFonts w:ascii="仿宋" w:hAnsi="仿宋" w:eastAsia="仿宋" w:cs="宋体"/>
                <w:color w:val="auto"/>
                <w:kern w:val="0"/>
                <w:sz w:val="20"/>
                <w:szCs w:val="21"/>
                <w:highlight w:val="none"/>
              </w:rPr>
            </w:pPr>
          </w:p>
        </w:tc>
        <w:tc>
          <w:tcPr>
            <w:tcW w:w="616" w:type="dxa"/>
            <w:vAlign w:val="center"/>
          </w:tcPr>
          <w:p w14:paraId="3200925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127</w:t>
            </w:r>
          </w:p>
        </w:tc>
        <w:tc>
          <w:tcPr>
            <w:tcW w:w="5971" w:type="dxa"/>
            <w:gridSpan w:val="3"/>
            <w:vAlign w:val="center"/>
          </w:tcPr>
          <w:p w14:paraId="21F6C0E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涂饰工程的基层处理不符合规范的规定要求的</w:t>
            </w:r>
          </w:p>
        </w:tc>
        <w:tc>
          <w:tcPr>
            <w:tcW w:w="1547" w:type="dxa"/>
            <w:vAlign w:val="center"/>
          </w:tcPr>
          <w:p w14:paraId="52DE759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2A5B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966B23B">
            <w:pPr>
              <w:spacing w:line="400" w:lineRule="exact"/>
              <w:rPr>
                <w:rFonts w:ascii="仿宋" w:hAnsi="仿宋" w:eastAsia="仿宋" w:cs="宋体"/>
                <w:color w:val="auto"/>
                <w:kern w:val="0"/>
                <w:sz w:val="20"/>
                <w:szCs w:val="21"/>
                <w:highlight w:val="none"/>
              </w:rPr>
            </w:pPr>
          </w:p>
        </w:tc>
        <w:tc>
          <w:tcPr>
            <w:tcW w:w="616" w:type="dxa"/>
            <w:vAlign w:val="center"/>
          </w:tcPr>
          <w:p w14:paraId="6B518BE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128</w:t>
            </w:r>
          </w:p>
        </w:tc>
        <w:tc>
          <w:tcPr>
            <w:tcW w:w="5971" w:type="dxa"/>
            <w:gridSpan w:val="3"/>
            <w:vAlign w:val="center"/>
          </w:tcPr>
          <w:p w14:paraId="2C79D76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涂饰工程涂饰不均匀，粘结不牢固，漏涂、透底、起皮和掉粉的</w:t>
            </w:r>
          </w:p>
        </w:tc>
        <w:tc>
          <w:tcPr>
            <w:tcW w:w="1547" w:type="dxa"/>
            <w:vAlign w:val="center"/>
          </w:tcPr>
          <w:p w14:paraId="5BCFD81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3B6E6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AF08143">
            <w:pPr>
              <w:spacing w:line="400" w:lineRule="exact"/>
              <w:rPr>
                <w:rFonts w:ascii="仿宋" w:hAnsi="仿宋" w:eastAsia="仿宋" w:cs="宋体"/>
                <w:color w:val="auto"/>
                <w:kern w:val="0"/>
                <w:sz w:val="20"/>
                <w:szCs w:val="21"/>
                <w:highlight w:val="none"/>
              </w:rPr>
            </w:pPr>
          </w:p>
        </w:tc>
        <w:tc>
          <w:tcPr>
            <w:tcW w:w="616" w:type="dxa"/>
            <w:vAlign w:val="center"/>
          </w:tcPr>
          <w:p w14:paraId="76D8843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129</w:t>
            </w:r>
          </w:p>
        </w:tc>
        <w:tc>
          <w:tcPr>
            <w:tcW w:w="5971" w:type="dxa"/>
            <w:gridSpan w:val="3"/>
            <w:vAlign w:val="center"/>
          </w:tcPr>
          <w:p w14:paraId="779158B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护栏高度、栏杆间距、安装位置不符合设计要求护栏安装不牢固的</w:t>
            </w:r>
          </w:p>
        </w:tc>
        <w:tc>
          <w:tcPr>
            <w:tcW w:w="1547" w:type="dxa"/>
            <w:vAlign w:val="center"/>
          </w:tcPr>
          <w:p w14:paraId="30C470E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202D2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6052A4B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建筑给排水分部</w:t>
            </w:r>
          </w:p>
        </w:tc>
        <w:tc>
          <w:tcPr>
            <w:tcW w:w="616" w:type="dxa"/>
            <w:vAlign w:val="center"/>
          </w:tcPr>
          <w:p w14:paraId="2DADA1D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130</w:t>
            </w:r>
          </w:p>
        </w:tc>
        <w:tc>
          <w:tcPr>
            <w:tcW w:w="5971" w:type="dxa"/>
            <w:gridSpan w:val="3"/>
            <w:vAlign w:val="center"/>
          </w:tcPr>
          <w:p w14:paraId="300E6B3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主要材料、成品半成品、配件、器具和设备进场时未报验使用,或未经监理工程师核査确认的</w:t>
            </w:r>
          </w:p>
        </w:tc>
        <w:tc>
          <w:tcPr>
            <w:tcW w:w="1547" w:type="dxa"/>
            <w:vAlign w:val="center"/>
          </w:tcPr>
          <w:p w14:paraId="2D9C41D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0B6743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2C428BE">
            <w:pPr>
              <w:spacing w:line="400" w:lineRule="exact"/>
              <w:rPr>
                <w:rFonts w:ascii="仿宋" w:hAnsi="仿宋" w:eastAsia="仿宋" w:cs="宋体"/>
                <w:color w:val="auto"/>
                <w:kern w:val="0"/>
                <w:sz w:val="20"/>
                <w:szCs w:val="21"/>
                <w:highlight w:val="none"/>
              </w:rPr>
            </w:pPr>
          </w:p>
        </w:tc>
        <w:tc>
          <w:tcPr>
            <w:tcW w:w="616" w:type="dxa"/>
            <w:vAlign w:val="center"/>
          </w:tcPr>
          <w:p w14:paraId="2E8B53B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131</w:t>
            </w:r>
          </w:p>
        </w:tc>
        <w:tc>
          <w:tcPr>
            <w:tcW w:w="5971" w:type="dxa"/>
            <w:gridSpan w:val="3"/>
            <w:vAlign w:val="center"/>
          </w:tcPr>
          <w:p w14:paraId="4F7596A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蔽工程未经验收或未形成记录的</w:t>
            </w:r>
          </w:p>
        </w:tc>
        <w:tc>
          <w:tcPr>
            <w:tcW w:w="1547" w:type="dxa"/>
            <w:vAlign w:val="center"/>
          </w:tcPr>
          <w:p w14:paraId="0F326E8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1E16A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48CB99C">
            <w:pPr>
              <w:spacing w:line="400" w:lineRule="exact"/>
              <w:rPr>
                <w:rFonts w:ascii="仿宋" w:hAnsi="仿宋" w:eastAsia="仿宋" w:cs="宋体"/>
                <w:color w:val="auto"/>
                <w:kern w:val="0"/>
                <w:sz w:val="20"/>
                <w:szCs w:val="21"/>
                <w:highlight w:val="none"/>
              </w:rPr>
            </w:pPr>
          </w:p>
        </w:tc>
        <w:tc>
          <w:tcPr>
            <w:tcW w:w="616" w:type="dxa"/>
            <w:vAlign w:val="center"/>
          </w:tcPr>
          <w:p w14:paraId="66CC8F1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132</w:t>
            </w:r>
          </w:p>
        </w:tc>
        <w:tc>
          <w:tcPr>
            <w:tcW w:w="5971" w:type="dxa"/>
            <w:gridSpan w:val="3"/>
            <w:vAlign w:val="center"/>
          </w:tcPr>
          <w:p w14:paraId="43EE3E1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地下构筑物外墙有管道穿过的，未按规范要求采取防水措施的</w:t>
            </w:r>
          </w:p>
        </w:tc>
        <w:tc>
          <w:tcPr>
            <w:tcW w:w="1547" w:type="dxa"/>
            <w:vAlign w:val="center"/>
          </w:tcPr>
          <w:p w14:paraId="12F9524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69D06F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70A8D19">
            <w:pPr>
              <w:spacing w:line="400" w:lineRule="exact"/>
              <w:rPr>
                <w:rFonts w:ascii="仿宋" w:hAnsi="仿宋" w:eastAsia="仿宋" w:cs="宋体"/>
                <w:color w:val="auto"/>
                <w:kern w:val="0"/>
                <w:sz w:val="20"/>
                <w:szCs w:val="21"/>
                <w:highlight w:val="none"/>
              </w:rPr>
            </w:pPr>
          </w:p>
        </w:tc>
        <w:tc>
          <w:tcPr>
            <w:tcW w:w="616" w:type="dxa"/>
            <w:vAlign w:val="center"/>
          </w:tcPr>
          <w:p w14:paraId="20EFB76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133</w:t>
            </w:r>
          </w:p>
        </w:tc>
        <w:tc>
          <w:tcPr>
            <w:tcW w:w="5971" w:type="dxa"/>
            <w:gridSpan w:val="3"/>
            <w:vAlign w:val="center"/>
          </w:tcPr>
          <w:p w14:paraId="1C881FD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首穿过结构伸缩维、抗震维及沉降维数设时，按规范要求采取保护措施的</w:t>
            </w:r>
          </w:p>
        </w:tc>
        <w:tc>
          <w:tcPr>
            <w:tcW w:w="1547" w:type="dxa"/>
            <w:vAlign w:val="center"/>
          </w:tcPr>
          <w:p w14:paraId="62EB5DA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6C44D4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BFE6DFC">
            <w:pPr>
              <w:spacing w:line="400" w:lineRule="exact"/>
              <w:rPr>
                <w:rFonts w:ascii="仿宋" w:hAnsi="仿宋" w:eastAsia="仿宋" w:cs="宋体"/>
                <w:color w:val="auto"/>
                <w:kern w:val="0"/>
                <w:sz w:val="20"/>
                <w:szCs w:val="21"/>
                <w:highlight w:val="none"/>
              </w:rPr>
            </w:pPr>
          </w:p>
        </w:tc>
        <w:tc>
          <w:tcPr>
            <w:tcW w:w="616" w:type="dxa"/>
            <w:vAlign w:val="center"/>
          </w:tcPr>
          <w:p w14:paraId="4FCB672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134</w:t>
            </w:r>
          </w:p>
        </w:tc>
        <w:tc>
          <w:tcPr>
            <w:tcW w:w="5971" w:type="dxa"/>
            <w:gridSpan w:val="3"/>
            <w:vAlign w:val="center"/>
          </w:tcPr>
          <w:p w14:paraId="615DABD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道离墙距离应统一管道坡度、垂直度：支、吊架管卡间距未在规范允许偏差范围内</w:t>
            </w:r>
          </w:p>
        </w:tc>
        <w:tc>
          <w:tcPr>
            <w:tcW w:w="1547" w:type="dxa"/>
            <w:vAlign w:val="center"/>
          </w:tcPr>
          <w:p w14:paraId="228324D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5710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85353FA">
            <w:pPr>
              <w:spacing w:line="400" w:lineRule="exact"/>
              <w:rPr>
                <w:rFonts w:ascii="仿宋" w:hAnsi="仿宋" w:eastAsia="仿宋" w:cs="宋体"/>
                <w:color w:val="auto"/>
                <w:kern w:val="0"/>
                <w:sz w:val="20"/>
                <w:szCs w:val="21"/>
                <w:highlight w:val="none"/>
              </w:rPr>
            </w:pPr>
          </w:p>
        </w:tc>
        <w:tc>
          <w:tcPr>
            <w:tcW w:w="616" w:type="dxa"/>
            <w:vAlign w:val="center"/>
          </w:tcPr>
          <w:p w14:paraId="366AEAE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135</w:t>
            </w:r>
          </w:p>
        </w:tc>
        <w:tc>
          <w:tcPr>
            <w:tcW w:w="5971" w:type="dxa"/>
            <w:gridSpan w:val="3"/>
            <w:vAlign w:val="center"/>
          </w:tcPr>
          <w:p w14:paraId="1B428EA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过墙壁或楼板未接规范要求设置套管或套管长度不够的</w:t>
            </w:r>
          </w:p>
        </w:tc>
        <w:tc>
          <w:tcPr>
            <w:tcW w:w="1547" w:type="dxa"/>
            <w:vAlign w:val="center"/>
          </w:tcPr>
          <w:p w14:paraId="1373A3C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219F67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B71ACA8">
            <w:pPr>
              <w:spacing w:line="400" w:lineRule="exact"/>
              <w:rPr>
                <w:rFonts w:ascii="仿宋" w:hAnsi="仿宋" w:eastAsia="仿宋" w:cs="宋体"/>
                <w:color w:val="auto"/>
                <w:kern w:val="0"/>
                <w:sz w:val="20"/>
                <w:szCs w:val="21"/>
                <w:highlight w:val="none"/>
              </w:rPr>
            </w:pPr>
          </w:p>
        </w:tc>
        <w:tc>
          <w:tcPr>
            <w:tcW w:w="616" w:type="dxa"/>
            <w:vAlign w:val="center"/>
          </w:tcPr>
          <w:p w14:paraId="17D50B7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136</w:t>
            </w:r>
          </w:p>
        </w:tc>
        <w:tc>
          <w:tcPr>
            <w:tcW w:w="5971" w:type="dxa"/>
            <w:gridSpan w:val="3"/>
            <w:vAlign w:val="center"/>
          </w:tcPr>
          <w:p w14:paraId="13A2EA7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系统未按要求做水压试验、灌水试验通水验、通球试验</w:t>
            </w:r>
          </w:p>
        </w:tc>
        <w:tc>
          <w:tcPr>
            <w:tcW w:w="1547" w:type="dxa"/>
            <w:vAlign w:val="center"/>
          </w:tcPr>
          <w:p w14:paraId="7B5D8D8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73A81B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EB967F0">
            <w:pPr>
              <w:spacing w:line="400" w:lineRule="exact"/>
              <w:rPr>
                <w:rFonts w:ascii="仿宋" w:hAnsi="仿宋" w:eastAsia="仿宋" w:cs="宋体"/>
                <w:color w:val="auto"/>
                <w:kern w:val="0"/>
                <w:sz w:val="20"/>
                <w:szCs w:val="21"/>
                <w:highlight w:val="none"/>
              </w:rPr>
            </w:pPr>
          </w:p>
        </w:tc>
        <w:tc>
          <w:tcPr>
            <w:tcW w:w="616" w:type="dxa"/>
            <w:vAlign w:val="center"/>
          </w:tcPr>
          <w:p w14:paraId="2D76071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137</w:t>
            </w:r>
          </w:p>
        </w:tc>
        <w:tc>
          <w:tcPr>
            <w:tcW w:w="5971" w:type="dxa"/>
            <w:gridSpan w:val="3"/>
            <w:vAlign w:val="center"/>
          </w:tcPr>
          <w:p w14:paraId="016DE3E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排水塑料管未按设计或规范要求装设伸缩节、检查口、清扫</w:t>
            </w:r>
          </w:p>
          <w:p w14:paraId="58BD39B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口、阻火圈、防火套管</w:t>
            </w:r>
          </w:p>
        </w:tc>
        <w:tc>
          <w:tcPr>
            <w:tcW w:w="1547" w:type="dxa"/>
            <w:vAlign w:val="center"/>
          </w:tcPr>
          <w:p w14:paraId="7953390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97B79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3F0EC09">
            <w:pPr>
              <w:spacing w:line="400" w:lineRule="exact"/>
              <w:rPr>
                <w:rFonts w:ascii="仿宋" w:hAnsi="仿宋" w:eastAsia="仿宋" w:cs="宋体"/>
                <w:color w:val="auto"/>
                <w:kern w:val="0"/>
                <w:sz w:val="20"/>
                <w:szCs w:val="21"/>
                <w:highlight w:val="none"/>
              </w:rPr>
            </w:pPr>
          </w:p>
        </w:tc>
        <w:tc>
          <w:tcPr>
            <w:tcW w:w="616" w:type="dxa"/>
            <w:vAlign w:val="center"/>
          </w:tcPr>
          <w:p w14:paraId="1A19630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138</w:t>
            </w:r>
          </w:p>
        </w:tc>
        <w:tc>
          <w:tcPr>
            <w:tcW w:w="5971" w:type="dxa"/>
            <w:gridSpan w:val="3"/>
            <w:vAlign w:val="center"/>
          </w:tcPr>
          <w:p w14:paraId="57815C0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地漏安装应统一标高，不宣过高过低影响观感及使用</w:t>
            </w:r>
          </w:p>
        </w:tc>
        <w:tc>
          <w:tcPr>
            <w:tcW w:w="1547" w:type="dxa"/>
            <w:vAlign w:val="center"/>
          </w:tcPr>
          <w:p w14:paraId="2006CCB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32AD2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8F8C10E">
            <w:pPr>
              <w:spacing w:line="400" w:lineRule="exact"/>
              <w:rPr>
                <w:rFonts w:ascii="仿宋" w:hAnsi="仿宋" w:eastAsia="仿宋" w:cs="宋体"/>
                <w:color w:val="auto"/>
                <w:kern w:val="0"/>
                <w:sz w:val="20"/>
                <w:szCs w:val="21"/>
                <w:highlight w:val="none"/>
              </w:rPr>
            </w:pPr>
          </w:p>
        </w:tc>
        <w:tc>
          <w:tcPr>
            <w:tcW w:w="616" w:type="dxa"/>
            <w:vAlign w:val="center"/>
          </w:tcPr>
          <w:p w14:paraId="647BFB7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139</w:t>
            </w:r>
          </w:p>
        </w:tc>
        <w:tc>
          <w:tcPr>
            <w:tcW w:w="5971" w:type="dxa"/>
            <w:gridSpan w:val="3"/>
            <w:vAlign w:val="center"/>
          </w:tcPr>
          <w:p w14:paraId="46699E6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消防箱上未加过梁保护</w:t>
            </w:r>
          </w:p>
        </w:tc>
        <w:tc>
          <w:tcPr>
            <w:tcW w:w="1547" w:type="dxa"/>
            <w:vAlign w:val="center"/>
          </w:tcPr>
          <w:p w14:paraId="050AF54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33E200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83C2672">
            <w:pPr>
              <w:spacing w:line="400" w:lineRule="exact"/>
              <w:rPr>
                <w:rFonts w:ascii="仿宋" w:hAnsi="仿宋" w:eastAsia="仿宋" w:cs="宋体"/>
                <w:color w:val="auto"/>
                <w:kern w:val="0"/>
                <w:sz w:val="20"/>
                <w:szCs w:val="21"/>
                <w:highlight w:val="none"/>
              </w:rPr>
            </w:pPr>
          </w:p>
        </w:tc>
        <w:tc>
          <w:tcPr>
            <w:tcW w:w="616" w:type="dxa"/>
            <w:vAlign w:val="center"/>
          </w:tcPr>
          <w:p w14:paraId="7181A92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140</w:t>
            </w:r>
          </w:p>
        </w:tc>
        <w:tc>
          <w:tcPr>
            <w:tcW w:w="5971" w:type="dxa"/>
            <w:gridSpan w:val="3"/>
            <w:vAlign w:val="center"/>
          </w:tcPr>
          <w:p w14:paraId="1C04154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卫生器具安装应位置准确、牢固、流水通畅、接头严密：不符合要求的</w:t>
            </w:r>
          </w:p>
        </w:tc>
        <w:tc>
          <w:tcPr>
            <w:tcW w:w="1547" w:type="dxa"/>
            <w:vAlign w:val="center"/>
          </w:tcPr>
          <w:p w14:paraId="4334228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AAB54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497644F">
            <w:pPr>
              <w:spacing w:line="400" w:lineRule="exact"/>
              <w:rPr>
                <w:rFonts w:ascii="仿宋" w:hAnsi="仿宋" w:eastAsia="仿宋" w:cs="宋体"/>
                <w:color w:val="auto"/>
                <w:kern w:val="0"/>
                <w:sz w:val="20"/>
                <w:szCs w:val="21"/>
                <w:highlight w:val="none"/>
              </w:rPr>
            </w:pPr>
          </w:p>
        </w:tc>
        <w:tc>
          <w:tcPr>
            <w:tcW w:w="616" w:type="dxa"/>
            <w:vAlign w:val="center"/>
          </w:tcPr>
          <w:p w14:paraId="712333A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141</w:t>
            </w:r>
          </w:p>
        </w:tc>
        <w:tc>
          <w:tcPr>
            <w:tcW w:w="5971" w:type="dxa"/>
            <w:gridSpan w:val="3"/>
            <w:vAlign w:val="center"/>
          </w:tcPr>
          <w:p w14:paraId="657D040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主要材料、成品、半成品、配件、器具和设备未在自检合格基础上进行报验的</w:t>
            </w:r>
          </w:p>
        </w:tc>
        <w:tc>
          <w:tcPr>
            <w:tcW w:w="1547" w:type="dxa"/>
            <w:vAlign w:val="center"/>
          </w:tcPr>
          <w:p w14:paraId="27F7E66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1CDE8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C45D527">
            <w:pPr>
              <w:spacing w:line="400" w:lineRule="exact"/>
              <w:rPr>
                <w:rFonts w:ascii="仿宋" w:hAnsi="仿宋" w:eastAsia="仿宋" w:cs="宋体"/>
                <w:color w:val="auto"/>
                <w:kern w:val="0"/>
                <w:sz w:val="20"/>
                <w:szCs w:val="21"/>
                <w:highlight w:val="none"/>
              </w:rPr>
            </w:pPr>
          </w:p>
        </w:tc>
        <w:tc>
          <w:tcPr>
            <w:tcW w:w="616" w:type="dxa"/>
            <w:vAlign w:val="center"/>
          </w:tcPr>
          <w:p w14:paraId="28FF995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142</w:t>
            </w:r>
          </w:p>
        </w:tc>
        <w:tc>
          <w:tcPr>
            <w:tcW w:w="5971" w:type="dxa"/>
            <w:gridSpan w:val="3"/>
            <w:vAlign w:val="center"/>
          </w:tcPr>
          <w:p w14:paraId="6F80E99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排水接头配件使用违反设计及施工规范要求的</w:t>
            </w:r>
          </w:p>
        </w:tc>
        <w:tc>
          <w:tcPr>
            <w:tcW w:w="1547" w:type="dxa"/>
            <w:vAlign w:val="center"/>
          </w:tcPr>
          <w:p w14:paraId="18B2071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E95E7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5C7A8ED">
            <w:pPr>
              <w:spacing w:line="400" w:lineRule="exact"/>
              <w:rPr>
                <w:rFonts w:ascii="仿宋" w:hAnsi="仿宋" w:eastAsia="仿宋" w:cs="宋体"/>
                <w:color w:val="auto"/>
                <w:kern w:val="0"/>
                <w:sz w:val="20"/>
                <w:szCs w:val="21"/>
                <w:highlight w:val="none"/>
              </w:rPr>
            </w:pPr>
          </w:p>
        </w:tc>
        <w:tc>
          <w:tcPr>
            <w:tcW w:w="616" w:type="dxa"/>
            <w:vAlign w:val="center"/>
          </w:tcPr>
          <w:p w14:paraId="02ED6BD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143</w:t>
            </w:r>
          </w:p>
        </w:tc>
        <w:tc>
          <w:tcPr>
            <w:tcW w:w="5971" w:type="dxa"/>
            <w:gridSpan w:val="3"/>
            <w:vAlign w:val="center"/>
          </w:tcPr>
          <w:p w14:paraId="505EA6D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消防设施系统未按规定防腐施工的</w:t>
            </w:r>
          </w:p>
        </w:tc>
        <w:tc>
          <w:tcPr>
            <w:tcW w:w="1547" w:type="dxa"/>
            <w:vAlign w:val="center"/>
          </w:tcPr>
          <w:p w14:paraId="4EF8679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3A8C2F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B7A08DA">
            <w:pPr>
              <w:spacing w:line="400" w:lineRule="exact"/>
              <w:rPr>
                <w:rFonts w:ascii="仿宋" w:hAnsi="仿宋" w:eastAsia="仿宋" w:cs="宋体"/>
                <w:color w:val="auto"/>
                <w:kern w:val="0"/>
                <w:sz w:val="20"/>
                <w:szCs w:val="21"/>
                <w:highlight w:val="none"/>
              </w:rPr>
            </w:pPr>
          </w:p>
        </w:tc>
        <w:tc>
          <w:tcPr>
            <w:tcW w:w="616" w:type="dxa"/>
            <w:vAlign w:val="center"/>
          </w:tcPr>
          <w:p w14:paraId="76F11E4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144</w:t>
            </w:r>
          </w:p>
        </w:tc>
        <w:tc>
          <w:tcPr>
            <w:tcW w:w="5971" w:type="dxa"/>
            <w:gridSpan w:val="3"/>
            <w:vAlign w:val="center"/>
          </w:tcPr>
          <w:p w14:paraId="002C87F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消防栓口位置、标高来按规范要求统一的</w:t>
            </w:r>
          </w:p>
        </w:tc>
        <w:tc>
          <w:tcPr>
            <w:tcW w:w="1547" w:type="dxa"/>
            <w:vAlign w:val="center"/>
          </w:tcPr>
          <w:p w14:paraId="4C8B8E2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764AB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23798F1">
            <w:pPr>
              <w:spacing w:line="400" w:lineRule="exact"/>
              <w:rPr>
                <w:rFonts w:ascii="仿宋" w:hAnsi="仿宋" w:eastAsia="仿宋" w:cs="宋体"/>
                <w:color w:val="auto"/>
                <w:kern w:val="0"/>
                <w:sz w:val="20"/>
                <w:szCs w:val="21"/>
                <w:highlight w:val="none"/>
              </w:rPr>
            </w:pPr>
          </w:p>
        </w:tc>
        <w:tc>
          <w:tcPr>
            <w:tcW w:w="616" w:type="dxa"/>
            <w:vAlign w:val="center"/>
          </w:tcPr>
          <w:p w14:paraId="05B4BF0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145</w:t>
            </w:r>
          </w:p>
        </w:tc>
        <w:tc>
          <w:tcPr>
            <w:tcW w:w="5971" w:type="dxa"/>
            <w:gridSpan w:val="3"/>
            <w:vAlign w:val="center"/>
          </w:tcPr>
          <w:p w14:paraId="6927415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喷淋头等消防配件未弹线固定在同一标高或同一直线上的，影响观感的</w:t>
            </w:r>
          </w:p>
        </w:tc>
        <w:tc>
          <w:tcPr>
            <w:tcW w:w="1547" w:type="dxa"/>
            <w:vAlign w:val="center"/>
          </w:tcPr>
          <w:p w14:paraId="7937891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816A9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153FB9B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建筑电气分部</w:t>
            </w:r>
          </w:p>
        </w:tc>
        <w:tc>
          <w:tcPr>
            <w:tcW w:w="616" w:type="dxa"/>
            <w:vAlign w:val="center"/>
          </w:tcPr>
          <w:p w14:paraId="1B5EBEB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146</w:t>
            </w:r>
          </w:p>
        </w:tc>
        <w:tc>
          <w:tcPr>
            <w:tcW w:w="5971" w:type="dxa"/>
            <w:gridSpan w:val="3"/>
            <w:vAlign w:val="center"/>
          </w:tcPr>
          <w:p w14:paraId="55FEE17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要材料、成品、半成品和设备进场时未报验使用，或未经监理工程师核查确认的</w:t>
            </w:r>
          </w:p>
        </w:tc>
        <w:tc>
          <w:tcPr>
            <w:tcW w:w="1547" w:type="dxa"/>
            <w:vAlign w:val="center"/>
          </w:tcPr>
          <w:p w14:paraId="3260B49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0716AF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6D6B03C">
            <w:pPr>
              <w:spacing w:line="400" w:lineRule="exact"/>
              <w:rPr>
                <w:rFonts w:ascii="仿宋" w:hAnsi="仿宋" w:eastAsia="仿宋" w:cs="宋体"/>
                <w:color w:val="auto"/>
                <w:kern w:val="0"/>
                <w:sz w:val="20"/>
                <w:szCs w:val="21"/>
                <w:highlight w:val="none"/>
              </w:rPr>
            </w:pPr>
          </w:p>
        </w:tc>
        <w:tc>
          <w:tcPr>
            <w:tcW w:w="616" w:type="dxa"/>
            <w:vAlign w:val="center"/>
          </w:tcPr>
          <w:p w14:paraId="2CD1997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147</w:t>
            </w:r>
          </w:p>
        </w:tc>
        <w:tc>
          <w:tcPr>
            <w:tcW w:w="5971" w:type="dxa"/>
            <w:gridSpan w:val="3"/>
            <w:vAlign w:val="center"/>
          </w:tcPr>
          <w:p w14:paraId="182D02E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隐蔽工程未经验收或未形成记录的每部位</w:t>
            </w:r>
          </w:p>
        </w:tc>
        <w:tc>
          <w:tcPr>
            <w:tcW w:w="1547" w:type="dxa"/>
            <w:vAlign w:val="center"/>
          </w:tcPr>
          <w:p w14:paraId="05B697C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33B0B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28D79A6">
            <w:pPr>
              <w:spacing w:line="400" w:lineRule="exact"/>
              <w:rPr>
                <w:rFonts w:ascii="仿宋" w:hAnsi="仿宋" w:eastAsia="仿宋" w:cs="宋体"/>
                <w:color w:val="auto"/>
                <w:kern w:val="0"/>
                <w:sz w:val="20"/>
                <w:szCs w:val="21"/>
                <w:highlight w:val="none"/>
              </w:rPr>
            </w:pPr>
          </w:p>
        </w:tc>
        <w:tc>
          <w:tcPr>
            <w:tcW w:w="616" w:type="dxa"/>
            <w:vAlign w:val="center"/>
          </w:tcPr>
          <w:p w14:paraId="64417D7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148</w:t>
            </w:r>
          </w:p>
        </w:tc>
        <w:tc>
          <w:tcPr>
            <w:tcW w:w="5971" w:type="dxa"/>
            <w:gridSpan w:val="3"/>
            <w:vAlign w:val="center"/>
          </w:tcPr>
          <w:p w14:paraId="4DFDD02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砼浇灌中，有暗配管的部位未安排人员值勤的每次</w:t>
            </w:r>
          </w:p>
        </w:tc>
        <w:tc>
          <w:tcPr>
            <w:tcW w:w="1547" w:type="dxa"/>
            <w:vAlign w:val="center"/>
          </w:tcPr>
          <w:p w14:paraId="00BAD52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72456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35C23ED">
            <w:pPr>
              <w:spacing w:line="400" w:lineRule="exact"/>
              <w:rPr>
                <w:rFonts w:ascii="仿宋" w:hAnsi="仿宋" w:eastAsia="仿宋" w:cs="宋体"/>
                <w:color w:val="auto"/>
                <w:kern w:val="0"/>
                <w:sz w:val="20"/>
                <w:szCs w:val="21"/>
                <w:highlight w:val="none"/>
              </w:rPr>
            </w:pPr>
          </w:p>
        </w:tc>
        <w:tc>
          <w:tcPr>
            <w:tcW w:w="616" w:type="dxa"/>
            <w:vAlign w:val="center"/>
          </w:tcPr>
          <w:p w14:paraId="43C4FE2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149</w:t>
            </w:r>
          </w:p>
        </w:tc>
        <w:tc>
          <w:tcPr>
            <w:tcW w:w="5971" w:type="dxa"/>
            <w:gridSpan w:val="3"/>
            <w:vAlign w:val="center"/>
          </w:tcPr>
          <w:p w14:paraId="29461BB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安装和调试用计量仪表应鉴定合格：使用时未在有效期内</w:t>
            </w:r>
          </w:p>
        </w:tc>
        <w:tc>
          <w:tcPr>
            <w:tcW w:w="1547" w:type="dxa"/>
            <w:vAlign w:val="center"/>
          </w:tcPr>
          <w:p w14:paraId="6DB3F3B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3CAD26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CC51AF5">
            <w:pPr>
              <w:spacing w:line="400" w:lineRule="exact"/>
              <w:rPr>
                <w:rFonts w:ascii="仿宋" w:hAnsi="仿宋" w:eastAsia="仿宋" w:cs="宋体"/>
                <w:color w:val="auto"/>
                <w:kern w:val="0"/>
                <w:sz w:val="20"/>
                <w:szCs w:val="21"/>
                <w:highlight w:val="none"/>
              </w:rPr>
            </w:pPr>
          </w:p>
        </w:tc>
        <w:tc>
          <w:tcPr>
            <w:tcW w:w="616" w:type="dxa"/>
            <w:vAlign w:val="center"/>
          </w:tcPr>
          <w:p w14:paraId="748DD9D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150</w:t>
            </w:r>
          </w:p>
        </w:tc>
        <w:tc>
          <w:tcPr>
            <w:tcW w:w="5971" w:type="dxa"/>
            <w:gridSpan w:val="3"/>
            <w:vAlign w:val="center"/>
          </w:tcPr>
          <w:p w14:paraId="41BE8B7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配电箱宽度大等于300m时未加过梁保护的每处</w:t>
            </w:r>
          </w:p>
        </w:tc>
        <w:tc>
          <w:tcPr>
            <w:tcW w:w="1547" w:type="dxa"/>
            <w:vAlign w:val="center"/>
          </w:tcPr>
          <w:p w14:paraId="39BAE38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D69E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2B92C61">
            <w:pPr>
              <w:spacing w:line="400" w:lineRule="exact"/>
              <w:rPr>
                <w:rFonts w:ascii="仿宋" w:hAnsi="仿宋" w:eastAsia="仿宋" w:cs="宋体"/>
                <w:color w:val="auto"/>
                <w:kern w:val="0"/>
                <w:sz w:val="20"/>
                <w:szCs w:val="21"/>
                <w:highlight w:val="none"/>
              </w:rPr>
            </w:pPr>
          </w:p>
        </w:tc>
        <w:tc>
          <w:tcPr>
            <w:tcW w:w="616" w:type="dxa"/>
            <w:vAlign w:val="center"/>
          </w:tcPr>
          <w:p w14:paraId="4A3B17A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151</w:t>
            </w:r>
          </w:p>
        </w:tc>
        <w:tc>
          <w:tcPr>
            <w:tcW w:w="5971" w:type="dxa"/>
            <w:gridSpan w:val="3"/>
            <w:vAlign w:val="center"/>
          </w:tcPr>
          <w:p w14:paraId="2246754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配电箱、柜的金属框架及基础型钢必须接地可靠，装有电器的可开启门，门和框架的接地端子间应用裸编织铜线连接，且有标识，未按规定施工</w:t>
            </w:r>
          </w:p>
        </w:tc>
        <w:tc>
          <w:tcPr>
            <w:tcW w:w="1547" w:type="dxa"/>
            <w:vAlign w:val="center"/>
          </w:tcPr>
          <w:p w14:paraId="4024E31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B72B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8758ADB">
            <w:pPr>
              <w:spacing w:line="400" w:lineRule="exact"/>
              <w:rPr>
                <w:rFonts w:ascii="仿宋" w:hAnsi="仿宋" w:eastAsia="仿宋" w:cs="宋体"/>
                <w:color w:val="auto"/>
                <w:kern w:val="0"/>
                <w:sz w:val="20"/>
                <w:szCs w:val="21"/>
                <w:highlight w:val="none"/>
              </w:rPr>
            </w:pPr>
          </w:p>
        </w:tc>
        <w:tc>
          <w:tcPr>
            <w:tcW w:w="616" w:type="dxa"/>
            <w:vAlign w:val="center"/>
          </w:tcPr>
          <w:p w14:paraId="0521D71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152</w:t>
            </w:r>
          </w:p>
        </w:tc>
        <w:tc>
          <w:tcPr>
            <w:tcW w:w="5971" w:type="dxa"/>
            <w:gridSpan w:val="3"/>
            <w:vAlign w:val="center"/>
          </w:tcPr>
          <w:p w14:paraId="26D0E83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金属电缆桥架及其支架和引入或引出的金属电缆导管必须安规范接地可靠：不符合要求的</w:t>
            </w:r>
          </w:p>
        </w:tc>
        <w:tc>
          <w:tcPr>
            <w:tcW w:w="1547" w:type="dxa"/>
            <w:vAlign w:val="center"/>
          </w:tcPr>
          <w:p w14:paraId="2504410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38AF63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33FD9A9">
            <w:pPr>
              <w:spacing w:line="400" w:lineRule="exact"/>
              <w:rPr>
                <w:rFonts w:ascii="仿宋" w:hAnsi="仿宋" w:eastAsia="仿宋" w:cs="宋体"/>
                <w:color w:val="auto"/>
                <w:kern w:val="0"/>
                <w:sz w:val="20"/>
                <w:szCs w:val="21"/>
                <w:highlight w:val="none"/>
              </w:rPr>
            </w:pPr>
          </w:p>
        </w:tc>
        <w:tc>
          <w:tcPr>
            <w:tcW w:w="616" w:type="dxa"/>
            <w:vAlign w:val="center"/>
          </w:tcPr>
          <w:p w14:paraId="20D1A76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153</w:t>
            </w:r>
          </w:p>
        </w:tc>
        <w:tc>
          <w:tcPr>
            <w:tcW w:w="5971" w:type="dxa"/>
            <w:gridSpan w:val="3"/>
            <w:vAlign w:val="center"/>
          </w:tcPr>
          <w:p w14:paraId="6136579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电缆桥架未按规范设置伸缩节、补充装置以及防水隔堵措施的每处</w:t>
            </w:r>
          </w:p>
        </w:tc>
        <w:tc>
          <w:tcPr>
            <w:tcW w:w="1547" w:type="dxa"/>
            <w:vAlign w:val="center"/>
          </w:tcPr>
          <w:p w14:paraId="6F2855A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EC8F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0C14C75">
            <w:pPr>
              <w:spacing w:line="400" w:lineRule="exact"/>
              <w:rPr>
                <w:rFonts w:ascii="仿宋" w:hAnsi="仿宋" w:eastAsia="仿宋" w:cs="宋体"/>
                <w:color w:val="auto"/>
                <w:kern w:val="0"/>
                <w:sz w:val="20"/>
                <w:szCs w:val="21"/>
                <w:highlight w:val="none"/>
              </w:rPr>
            </w:pPr>
          </w:p>
        </w:tc>
        <w:tc>
          <w:tcPr>
            <w:tcW w:w="616" w:type="dxa"/>
            <w:vAlign w:val="center"/>
          </w:tcPr>
          <w:p w14:paraId="526DEE0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154</w:t>
            </w:r>
          </w:p>
        </w:tc>
        <w:tc>
          <w:tcPr>
            <w:tcW w:w="5971" w:type="dxa"/>
            <w:gridSpan w:val="3"/>
            <w:vAlign w:val="center"/>
          </w:tcPr>
          <w:p w14:paraId="1B8CA29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金属导管严禁对口熔焊连接：镀锌和壁厚小于等于2mn的钢导管不得套管熔焊连接</w:t>
            </w:r>
          </w:p>
        </w:tc>
        <w:tc>
          <w:tcPr>
            <w:tcW w:w="1547" w:type="dxa"/>
            <w:vAlign w:val="center"/>
          </w:tcPr>
          <w:p w14:paraId="094FA76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96A8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4" w:hRule="atLeast"/>
          <w:jc w:val="center"/>
        </w:trPr>
        <w:tc>
          <w:tcPr>
            <w:tcW w:w="426" w:type="dxa"/>
            <w:vMerge w:val="continue"/>
            <w:vAlign w:val="center"/>
          </w:tcPr>
          <w:p w14:paraId="39B723D9">
            <w:pPr>
              <w:spacing w:line="400" w:lineRule="exact"/>
              <w:rPr>
                <w:rFonts w:ascii="仿宋" w:hAnsi="仿宋" w:eastAsia="仿宋" w:cs="宋体"/>
                <w:color w:val="auto"/>
                <w:kern w:val="0"/>
                <w:sz w:val="20"/>
                <w:szCs w:val="21"/>
                <w:highlight w:val="none"/>
              </w:rPr>
            </w:pPr>
          </w:p>
        </w:tc>
        <w:tc>
          <w:tcPr>
            <w:tcW w:w="616" w:type="dxa"/>
            <w:vAlign w:val="center"/>
          </w:tcPr>
          <w:p w14:paraId="0D15050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155</w:t>
            </w:r>
          </w:p>
        </w:tc>
        <w:tc>
          <w:tcPr>
            <w:tcW w:w="5971" w:type="dxa"/>
            <w:gridSpan w:val="3"/>
            <w:vAlign w:val="center"/>
          </w:tcPr>
          <w:p w14:paraId="462D1B4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导管和线槽，在建筑物变形缝处，未设置补偿装置</w:t>
            </w:r>
          </w:p>
        </w:tc>
        <w:tc>
          <w:tcPr>
            <w:tcW w:w="1547" w:type="dxa"/>
            <w:vAlign w:val="center"/>
          </w:tcPr>
          <w:p w14:paraId="6917182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87C8C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48A3A45">
            <w:pPr>
              <w:spacing w:line="400" w:lineRule="exact"/>
              <w:rPr>
                <w:rFonts w:ascii="仿宋" w:hAnsi="仿宋" w:eastAsia="仿宋" w:cs="宋体"/>
                <w:color w:val="auto"/>
                <w:kern w:val="0"/>
                <w:sz w:val="20"/>
                <w:szCs w:val="21"/>
                <w:highlight w:val="none"/>
              </w:rPr>
            </w:pPr>
          </w:p>
        </w:tc>
        <w:tc>
          <w:tcPr>
            <w:tcW w:w="616" w:type="dxa"/>
            <w:vAlign w:val="center"/>
          </w:tcPr>
          <w:p w14:paraId="01649E8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156</w:t>
            </w:r>
          </w:p>
        </w:tc>
        <w:tc>
          <w:tcPr>
            <w:tcW w:w="5971" w:type="dxa"/>
            <w:gridSpan w:val="3"/>
            <w:vAlign w:val="center"/>
          </w:tcPr>
          <w:p w14:paraId="5A4B924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电缆敷设前未绝缘测试</w:t>
            </w:r>
          </w:p>
        </w:tc>
        <w:tc>
          <w:tcPr>
            <w:tcW w:w="1547" w:type="dxa"/>
            <w:vAlign w:val="center"/>
          </w:tcPr>
          <w:p w14:paraId="4F0467D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044CE9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A2153FB">
            <w:pPr>
              <w:spacing w:line="400" w:lineRule="exact"/>
              <w:rPr>
                <w:rFonts w:ascii="仿宋" w:hAnsi="仿宋" w:eastAsia="仿宋" w:cs="宋体"/>
                <w:color w:val="auto"/>
                <w:kern w:val="0"/>
                <w:sz w:val="20"/>
                <w:szCs w:val="21"/>
                <w:highlight w:val="none"/>
              </w:rPr>
            </w:pPr>
          </w:p>
        </w:tc>
        <w:tc>
          <w:tcPr>
            <w:tcW w:w="616" w:type="dxa"/>
            <w:vAlign w:val="center"/>
          </w:tcPr>
          <w:p w14:paraId="6531D2F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157</w:t>
            </w:r>
          </w:p>
        </w:tc>
        <w:tc>
          <w:tcPr>
            <w:tcW w:w="5971" w:type="dxa"/>
            <w:gridSpan w:val="3"/>
            <w:vAlign w:val="center"/>
          </w:tcPr>
          <w:p w14:paraId="788A44A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灯具安装前，未进行导线绝缘测试</w:t>
            </w:r>
          </w:p>
        </w:tc>
        <w:tc>
          <w:tcPr>
            <w:tcW w:w="1547" w:type="dxa"/>
            <w:vAlign w:val="center"/>
          </w:tcPr>
          <w:p w14:paraId="3C4D230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133F0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FD5ACCA">
            <w:pPr>
              <w:spacing w:line="400" w:lineRule="exact"/>
              <w:rPr>
                <w:rFonts w:ascii="仿宋" w:hAnsi="仿宋" w:eastAsia="仿宋" w:cs="宋体"/>
                <w:color w:val="auto"/>
                <w:kern w:val="0"/>
                <w:sz w:val="20"/>
                <w:szCs w:val="21"/>
                <w:highlight w:val="none"/>
              </w:rPr>
            </w:pPr>
          </w:p>
        </w:tc>
        <w:tc>
          <w:tcPr>
            <w:tcW w:w="616" w:type="dxa"/>
            <w:vAlign w:val="center"/>
          </w:tcPr>
          <w:p w14:paraId="2BD8818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158</w:t>
            </w:r>
          </w:p>
        </w:tc>
        <w:tc>
          <w:tcPr>
            <w:tcW w:w="5971" w:type="dxa"/>
            <w:gridSpan w:val="3"/>
            <w:vAlign w:val="center"/>
          </w:tcPr>
          <w:p w14:paraId="36ADC21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电气器具及线路绝缘电阻未测试合格，进行通电试验的</w:t>
            </w:r>
          </w:p>
        </w:tc>
        <w:tc>
          <w:tcPr>
            <w:tcW w:w="1547" w:type="dxa"/>
            <w:vAlign w:val="center"/>
          </w:tcPr>
          <w:p w14:paraId="76FDD80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75D7B4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E1F73D3">
            <w:pPr>
              <w:spacing w:line="400" w:lineRule="exact"/>
              <w:rPr>
                <w:rFonts w:ascii="仿宋" w:hAnsi="仿宋" w:eastAsia="仿宋" w:cs="宋体"/>
                <w:color w:val="auto"/>
                <w:kern w:val="0"/>
                <w:sz w:val="20"/>
                <w:szCs w:val="21"/>
                <w:highlight w:val="none"/>
              </w:rPr>
            </w:pPr>
          </w:p>
        </w:tc>
        <w:tc>
          <w:tcPr>
            <w:tcW w:w="616" w:type="dxa"/>
            <w:vAlign w:val="center"/>
          </w:tcPr>
          <w:p w14:paraId="48E7B41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159</w:t>
            </w:r>
          </w:p>
        </w:tc>
        <w:tc>
          <w:tcPr>
            <w:tcW w:w="5971" w:type="dxa"/>
            <w:gridSpan w:val="3"/>
            <w:vAlign w:val="center"/>
          </w:tcPr>
          <w:p w14:paraId="6C9069A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未按设计要求做总等电位联结、辅助等电位联结、局部等电位联结的</w:t>
            </w:r>
          </w:p>
        </w:tc>
        <w:tc>
          <w:tcPr>
            <w:tcW w:w="1547" w:type="dxa"/>
            <w:vAlign w:val="center"/>
          </w:tcPr>
          <w:p w14:paraId="78E0920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5B9A9D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EA59F5A">
            <w:pPr>
              <w:spacing w:line="400" w:lineRule="exact"/>
              <w:rPr>
                <w:rFonts w:ascii="仿宋" w:hAnsi="仿宋" w:eastAsia="仿宋" w:cs="宋体"/>
                <w:color w:val="auto"/>
                <w:kern w:val="0"/>
                <w:sz w:val="20"/>
                <w:szCs w:val="21"/>
                <w:highlight w:val="none"/>
              </w:rPr>
            </w:pPr>
          </w:p>
        </w:tc>
        <w:tc>
          <w:tcPr>
            <w:tcW w:w="616" w:type="dxa"/>
            <w:vAlign w:val="center"/>
          </w:tcPr>
          <w:p w14:paraId="379071D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160</w:t>
            </w:r>
          </w:p>
        </w:tc>
        <w:tc>
          <w:tcPr>
            <w:tcW w:w="5971" w:type="dxa"/>
            <w:gridSpan w:val="3"/>
            <w:vAlign w:val="center"/>
          </w:tcPr>
          <w:p w14:paraId="555F786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当采用多相供电时，同=建筑物的电线绝缘层颜色选择未按规范要求一致的</w:t>
            </w:r>
          </w:p>
        </w:tc>
        <w:tc>
          <w:tcPr>
            <w:tcW w:w="1547" w:type="dxa"/>
            <w:vAlign w:val="center"/>
          </w:tcPr>
          <w:p w14:paraId="06E570F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7CB4A2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E64509A">
            <w:pPr>
              <w:spacing w:line="400" w:lineRule="exact"/>
              <w:rPr>
                <w:rFonts w:ascii="仿宋" w:hAnsi="仿宋" w:eastAsia="仿宋" w:cs="宋体"/>
                <w:color w:val="auto"/>
                <w:kern w:val="0"/>
                <w:sz w:val="20"/>
                <w:szCs w:val="21"/>
                <w:highlight w:val="none"/>
              </w:rPr>
            </w:pPr>
          </w:p>
        </w:tc>
        <w:tc>
          <w:tcPr>
            <w:tcW w:w="616" w:type="dxa"/>
            <w:vAlign w:val="center"/>
          </w:tcPr>
          <w:p w14:paraId="7519239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161</w:t>
            </w:r>
          </w:p>
        </w:tc>
        <w:tc>
          <w:tcPr>
            <w:tcW w:w="5971" w:type="dxa"/>
            <w:gridSpan w:val="3"/>
            <w:vAlign w:val="center"/>
          </w:tcPr>
          <w:p w14:paraId="3A111AC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当灯具距地高度小于2.4m时，灯具的可接近裸露导体未拨接地或接零保护的每处</w:t>
            </w:r>
          </w:p>
        </w:tc>
        <w:tc>
          <w:tcPr>
            <w:tcW w:w="1547" w:type="dxa"/>
            <w:vAlign w:val="center"/>
          </w:tcPr>
          <w:p w14:paraId="552BF0F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45244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592399B">
            <w:pPr>
              <w:spacing w:line="400" w:lineRule="exact"/>
              <w:rPr>
                <w:rFonts w:ascii="仿宋" w:hAnsi="仿宋" w:eastAsia="仿宋" w:cs="宋体"/>
                <w:color w:val="auto"/>
                <w:kern w:val="0"/>
                <w:sz w:val="20"/>
                <w:szCs w:val="21"/>
                <w:highlight w:val="none"/>
              </w:rPr>
            </w:pPr>
          </w:p>
        </w:tc>
        <w:tc>
          <w:tcPr>
            <w:tcW w:w="616" w:type="dxa"/>
            <w:vAlign w:val="center"/>
          </w:tcPr>
          <w:p w14:paraId="02C488E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162</w:t>
            </w:r>
          </w:p>
        </w:tc>
        <w:tc>
          <w:tcPr>
            <w:tcW w:w="5971" w:type="dxa"/>
            <w:gridSpan w:val="3"/>
            <w:vAlign w:val="center"/>
          </w:tcPr>
          <w:p w14:paraId="373D290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插座连接柱未按极性标准要求进行连接</w:t>
            </w:r>
          </w:p>
        </w:tc>
        <w:tc>
          <w:tcPr>
            <w:tcW w:w="1547" w:type="dxa"/>
            <w:vAlign w:val="center"/>
          </w:tcPr>
          <w:p w14:paraId="78693FA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3F625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9B6E8C7">
            <w:pPr>
              <w:spacing w:line="400" w:lineRule="exact"/>
              <w:rPr>
                <w:rFonts w:ascii="仿宋" w:hAnsi="仿宋" w:eastAsia="仿宋" w:cs="宋体"/>
                <w:color w:val="auto"/>
                <w:kern w:val="0"/>
                <w:sz w:val="20"/>
                <w:szCs w:val="21"/>
                <w:highlight w:val="none"/>
              </w:rPr>
            </w:pPr>
          </w:p>
        </w:tc>
        <w:tc>
          <w:tcPr>
            <w:tcW w:w="616" w:type="dxa"/>
            <w:vAlign w:val="center"/>
          </w:tcPr>
          <w:p w14:paraId="7ED728F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163</w:t>
            </w:r>
          </w:p>
        </w:tc>
        <w:tc>
          <w:tcPr>
            <w:tcW w:w="5971" w:type="dxa"/>
            <w:gridSpan w:val="3"/>
            <w:vAlign w:val="center"/>
          </w:tcPr>
          <w:p w14:paraId="36CEE05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未做照明通电持续性运行或运行中未按规定每2h记录一次</w:t>
            </w:r>
          </w:p>
        </w:tc>
        <w:tc>
          <w:tcPr>
            <w:tcW w:w="1547" w:type="dxa"/>
            <w:vAlign w:val="center"/>
          </w:tcPr>
          <w:p w14:paraId="571982F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5F3D76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8E75784">
            <w:pPr>
              <w:spacing w:line="400" w:lineRule="exact"/>
              <w:rPr>
                <w:rFonts w:ascii="仿宋" w:hAnsi="仿宋" w:eastAsia="仿宋" w:cs="宋体"/>
                <w:color w:val="auto"/>
                <w:kern w:val="0"/>
                <w:sz w:val="20"/>
                <w:szCs w:val="21"/>
                <w:highlight w:val="none"/>
              </w:rPr>
            </w:pPr>
          </w:p>
        </w:tc>
        <w:tc>
          <w:tcPr>
            <w:tcW w:w="616" w:type="dxa"/>
            <w:vAlign w:val="center"/>
          </w:tcPr>
          <w:p w14:paraId="36BE6CF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164</w:t>
            </w:r>
          </w:p>
        </w:tc>
        <w:tc>
          <w:tcPr>
            <w:tcW w:w="5971" w:type="dxa"/>
            <w:gridSpan w:val="3"/>
            <w:vAlign w:val="center"/>
          </w:tcPr>
          <w:p w14:paraId="47A38C6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接地装置焊接中，搭接长度、焊接面不符合规范要求的每处</w:t>
            </w:r>
          </w:p>
        </w:tc>
        <w:tc>
          <w:tcPr>
            <w:tcW w:w="1547" w:type="dxa"/>
            <w:vAlign w:val="center"/>
          </w:tcPr>
          <w:p w14:paraId="287C69F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7554ED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A8DC9C3">
            <w:pPr>
              <w:spacing w:line="400" w:lineRule="exact"/>
              <w:rPr>
                <w:rFonts w:ascii="仿宋" w:hAnsi="仿宋" w:eastAsia="仿宋" w:cs="宋体"/>
                <w:color w:val="auto"/>
                <w:kern w:val="0"/>
                <w:sz w:val="20"/>
                <w:szCs w:val="21"/>
                <w:highlight w:val="none"/>
              </w:rPr>
            </w:pPr>
          </w:p>
        </w:tc>
        <w:tc>
          <w:tcPr>
            <w:tcW w:w="616" w:type="dxa"/>
            <w:vAlign w:val="center"/>
          </w:tcPr>
          <w:p w14:paraId="18D9E59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165</w:t>
            </w:r>
          </w:p>
        </w:tc>
        <w:tc>
          <w:tcPr>
            <w:tcW w:w="5971" w:type="dxa"/>
            <w:gridSpan w:val="3"/>
            <w:vAlign w:val="center"/>
          </w:tcPr>
          <w:p w14:paraId="1DC0C53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屋面金属构件、幕墙金属框架和建筑物金属门窗，未按设计要求接地的</w:t>
            </w:r>
          </w:p>
        </w:tc>
        <w:tc>
          <w:tcPr>
            <w:tcW w:w="1547" w:type="dxa"/>
            <w:vAlign w:val="center"/>
          </w:tcPr>
          <w:p w14:paraId="7860725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120CA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C0EE28A">
            <w:pPr>
              <w:spacing w:line="400" w:lineRule="exact"/>
              <w:rPr>
                <w:rFonts w:ascii="仿宋" w:hAnsi="仿宋" w:eastAsia="仿宋" w:cs="宋体"/>
                <w:color w:val="auto"/>
                <w:kern w:val="0"/>
                <w:sz w:val="20"/>
                <w:szCs w:val="21"/>
                <w:highlight w:val="none"/>
              </w:rPr>
            </w:pPr>
          </w:p>
        </w:tc>
        <w:tc>
          <w:tcPr>
            <w:tcW w:w="616" w:type="dxa"/>
            <w:vAlign w:val="center"/>
          </w:tcPr>
          <w:p w14:paraId="723791B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166</w:t>
            </w:r>
          </w:p>
        </w:tc>
        <w:tc>
          <w:tcPr>
            <w:tcW w:w="5971" w:type="dxa"/>
            <w:gridSpan w:val="3"/>
            <w:vAlign w:val="center"/>
          </w:tcPr>
          <w:p w14:paraId="6692B85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暗埋灯头盒未弹线定位的暗配接口未做成品保护的</w:t>
            </w:r>
          </w:p>
        </w:tc>
        <w:tc>
          <w:tcPr>
            <w:tcW w:w="1547" w:type="dxa"/>
            <w:vAlign w:val="center"/>
          </w:tcPr>
          <w:p w14:paraId="36FC3B8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515E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A1BBC68">
            <w:pPr>
              <w:spacing w:line="400" w:lineRule="exact"/>
              <w:rPr>
                <w:rFonts w:ascii="仿宋" w:hAnsi="仿宋" w:eastAsia="仿宋" w:cs="宋体"/>
                <w:color w:val="auto"/>
                <w:kern w:val="0"/>
                <w:sz w:val="20"/>
                <w:szCs w:val="21"/>
                <w:highlight w:val="none"/>
              </w:rPr>
            </w:pPr>
          </w:p>
        </w:tc>
        <w:tc>
          <w:tcPr>
            <w:tcW w:w="616" w:type="dxa"/>
            <w:vAlign w:val="center"/>
          </w:tcPr>
          <w:p w14:paraId="3550470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167</w:t>
            </w:r>
          </w:p>
        </w:tc>
        <w:tc>
          <w:tcPr>
            <w:tcW w:w="5971" w:type="dxa"/>
            <w:gridSpan w:val="3"/>
            <w:vAlign w:val="center"/>
          </w:tcPr>
          <w:p w14:paraId="488700E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同一场所开关。插座、配电箱本弹线定位在同一规定标高的</w:t>
            </w:r>
          </w:p>
        </w:tc>
        <w:tc>
          <w:tcPr>
            <w:tcW w:w="1547" w:type="dxa"/>
            <w:vAlign w:val="center"/>
          </w:tcPr>
          <w:p w14:paraId="3D4A97D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0BDEDD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19B0A9B">
            <w:pPr>
              <w:spacing w:line="400" w:lineRule="exact"/>
              <w:rPr>
                <w:rFonts w:ascii="仿宋" w:hAnsi="仿宋" w:eastAsia="仿宋" w:cs="宋体"/>
                <w:color w:val="auto"/>
                <w:kern w:val="0"/>
                <w:sz w:val="20"/>
                <w:szCs w:val="21"/>
                <w:highlight w:val="none"/>
              </w:rPr>
            </w:pPr>
          </w:p>
        </w:tc>
        <w:tc>
          <w:tcPr>
            <w:tcW w:w="616" w:type="dxa"/>
            <w:vAlign w:val="center"/>
          </w:tcPr>
          <w:p w14:paraId="5518F89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168</w:t>
            </w:r>
          </w:p>
        </w:tc>
        <w:tc>
          <w:tcPr>
            <w:tcW w:w="5971" w:type="dxa"/>
            <w:gridSpan w:val="3"/>
            <w:vAlign w:val="center"/>
          </w:tcPr>
          <w:p w14:paraId="3B32254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未按已审批的施工图设计文件、施工方案或未按规定办理变更手续的每次</w:t>
            </w:r>
          </w:p>
        </w:tc>
        <w:tc>
          <w:tcPr>
            <w:tcW w:w="1547" w:type="dxa"/>
            <w:vAlign w:val="center"/>
          </w:tcPr>
          <w:p w14:paraId="2DA32CB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6D8B1B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940EB1B">
            <w:pPr>
              <w:spacing w:line="400" w:lineRule="exact"/>
              <w:rPr>
                <w:rFonts w:ascii="仿宋" w:hAnsi="仿宋" w:eastAsia="仿宋" w:cs="宋体"/>
                <w:color w:val="auto"/>
                <w:kern w:val="0"/>
                <w:sz w:val="20"/>
                <w:szCs w:val="21"/>
                <w:highlight w:val="none"/>
              </w:rPr>
            </w:pPr>
          </w:p>
        </w:tc>
        <w:tc>
          <w:tcPr>
            <w:tcW w:w="616" w:type="dxa"/>
            <w:vAlign w:val="center"/>
          </w:tcPr>
          <w:p w14:paraId="41F8226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169</w:t>
            </w:r>
          </w:p>
        </w:tc>
        <w:tc>
          <w:tcPr>
            <w:tcW w:w="5971" w:type="dxa"/>
            <w:gridSpan w:val="3"/>
            <w:vAlign w:val="center"/>
          </w:tcPr>
          <w:p w14:paraId="590039B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暗配线管等到成品未做好成品保护的，造成缺陷的</w:t>
            </w:r>
          </w:p>
        </w:tc>
        <w:tc>
          <w:tcPr>
            <w:tcW w:w="1547" w:type="dxa"/>
            <w:vAlign w:val="center"/>
          </w:tcPr>
          <w:p w14:paraId="78A2372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F18D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B379F01">
            <w:pPr>
              <w:spacing w:line="400" w:lineRule="exact"/>
              <w:rPr>
                <w:rFonts w:ascii="仿宋" w:hAnsi="仿宋" w:eastAsia="仿宋" w:cs="宋体"/>
                <w:color w:val="auto"/>
                <w:kern w:val="0"/>
                <w:sz w:val="20"/>
                <w:szCs w:val="21"/>
                <w:highlight w:val="none"/>
              </w:rPr>
            </w:pPr>
          </w:p>
        </w:tc>
        <w:tc>
          <w:tcPr>
            <w:tcW w:w="616" w:type="dxa"/>
            <w:vAlign w:val="center"/>
          </w:tcPr>
          <w:p w14:paraId="2AE235B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170</w:t>
            </w:r>
          </w:p>
        </w:tc>
        <w:tc>
          <w:tcPr>
            <w:tcW w:w="5971" w:type="dxa"/>
            <w:gridSpan w:val="3"/>
            <w:vAlign w:val="center"/>
          </w:tcPr>
          <w:p w14:paraId="59E52FD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导线连接不符合规范要求的</w:t>
            </w:r>
          </w:p>
        </w:tc>
        <w:tc>
          <w:tcPr>
            <w:tcW w:w="1547" w:type="dxa"/>
            <w:vAlign w:val="center"/>
          </w:tcPr>
          <w:p w14:paraId="3C4ABA3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90AF7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595C8CF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智能建筑分部</w:t>
            </w:r>
          </w:p>
        </w:tc>
        <w:tc>
          <w:tcPr>
            <w:tcW w:w="616" w:type="dxa"/>
            <w:vAlign w:val="center"/>
          </w:tcPr>
          <w:p w14:paraId="63A638F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171</w:t>
            </w:r>
          </w:p>
        </w:tc>
        <w:tc>
          <w:tcPr>
            <w:tcW w:w="5971" w:type="dxa"/>
            <w:gridSpan w:val="3"/>
            <w:vAlign w:val="center"/>
          </w:tcPr>
          <w:p w14:paraId="2DDD73C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工程使用的材料、设备必须具有出厂合格证及质量证明书，实施生产许可证和安全认证制度的产品，必须具有生产许可证和安全认证标志。不符合上述规定的</w:t>
            </w:r>
          </w:p>
        </w:tc>
        <w:tc>
          <w:tcPr>
            <w:tcW w:w="1547" w:type="dxa"/>
            <w:vAlign w:val="center"/>
          </w:tcPr>
          <w:p w14:paraId="6ECBA49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487DD9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D07D63C">
            <w:pPr>
              <w:spacing w:line="400" w:lineRule="exact"/>
              <w:rPr>
                <w:rFonts w:ascii="仿宋" w:hAnsi="仿宋" w:eastAsia="仿宋" w:cs="宋体"/>
                <w:color w:val="auto"/>
                <w:kern w:val="0"/>
                <w:sz w:val="20"/>
                <w:szCs w:val="21"/>
                <w:highlight w:val="none"/>
              </w:rPr>
            </w:pPr>
          </w:p>
        </w:tc>
        <w:tc>
          <w:tcPr>
            <w:tcW w:w="616" w:type="dxa"/>
            <w:vAlign w:val="center"/>
          </w:tcPr>
          <w:p w14:paraId="286E498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172</w:t>
            </w:r>
          </w:p>
        </w:tc>
        <w:tc>
          <w:tcPr>
            <w:tcW w:w="5971" w:type="dxa"/>
            <w:gridSpan w:val="3"/>
            <w:vAlign w:val="center"/>
          </w:tcPr>
          <w:p w14:paraId="49766FD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设备、材料进场时，必须按照合同技术文件和工程设计文件的要求，并按规范标准要求进行验收，并经监理工程师或建设单位签字确认。未经验收合格的设备、材料不得在工程上使用。不符合规定的。</w:t>
            </w:r>
          </w:p>
        </w:tc>
        <w:tc>
          <w:tcPr>
            <w:tcW w:w="1547" w:type="dxa"/>
            <w:vAlign w:val="center"/>
          </w:tcPr>
          <w:p w14:paraId="20365DC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1098E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C396E1F">
            <w:pPr>
              <w:spacing w:line="400" w:lineRule="exact"/>
              <w:rPr>
                <w:rFonts w:ascii="仿宋" w:hAnsi="仿宋" w:eastAsia="仿宋" w:cs="宋体"/>
                <w:color w:val="auto"/>
                <w:kern w:val="0"/>
                <w:sz w:val="20"/>
                <w:szCs w:val="21"/>
                <w:highlight w:val="none"/>
              </w:rPr>
            </w:pPr>
          </w:p>
        </w:tc>
        <w:tc>
          <w:tcPr>
            <w:tcW w:w="616" w:type="dxa"/>
            <w:vAlign w:val="center"/>
          </w:tcPr>
          <w:p w14:paraId="624EF28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173</w:t>
            </w:r>
          </w:p>
        </w:tc>
        <w:tc>
          <w:tcPr>
            <w:tcW w:w="5971" w:type="dxa"/>
            <w:gridSpan w:val="3"/>
            <w:vAlign w:val="center"/>
          </w:tcPr>
          <w:p w14:paraId="6795F87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智能化工程应按照设计文件及施工图进行施工，不得擅自修改设计。不符合上述规定的</w:t>
            </w:r>
          </w:p>
        </w:tc>
        <w:tc>
          <w:tcPr>
            <w:tcW w:w="1547" w:type="dxa"/>
            <w:vAlign w:val="center"/>
          </w:tcPr>
          <w:p w14:paraId="4A0A41C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491723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2AEAE73">
            <w:pPr>
              <w:spacing w:line="400" w:lineRule="exact"/>
              <w:rPr>
                <w:rFonts w:ascii="仿宋" w:hAnsi="仿宋" w:eastAsia="仿宋" w:cs="宋体"/>
                <w:color w:val="auto"/>
                <w:kern w:val="0"/>
                <w:sz w:val="20"/>
                <w:szCs w:val="21"/>
                <w:highlight w:val="none"/>
              </w:rPr>
            </w:pPr>
          </w:p>
        </w:tc>
        <w:tc>
          <w:tcPr>
            <w:tcW w:w="616" w:type="dxa"/>
            <w:vAlign w:val="center"/>
          </w:tcPr>
          <w:p w14:paraId="4FE94FA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174</w:t>
            </w:r>
          </w:p>
        </w:tc>
        <w:tc>
          <w:tcPr>
            <w:tcW w:w="5971" w:type="dxa"/>
            <w:gridSpan w:val="3"/>
            <w:vAlign w:val="center"/>
          </w:tcPr>
          <w:p w14:paraId="31A9D53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施工中应和建筑、管线预埋及其它有关专业、工程密切配合，及时作好与建筑结构、建筑电气、建筑装饰、电梯等相关分部工程的工序交接和接口确认。不符合上述规定的</w:t>
            </w:r>
          </w:p>
        </w:tc>
        <w:tc>
          <w:tcPr>
            <w:tcW w:w="1547" w:type="dxa"/>
            <w:vAlign w:val="center"/>
          </w:tcPr>
          <w:p w14:paraId="610A125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42A76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4CD74EF">
            <w:pPr>
              <w:spacing w:line="400" w:lineRule="exact"/>
              <w:rPr>
                <w:rFonts w:ascii="仿宋" w:hAnsi="仿宋" w:eastAsia="仿宋" w:cs="宋体"/>
                <w:color w:val="auto"/>
                <w:kern w:val="0"/>
                <w:sz w:val="20"/>
                <w:szCs w:val="21"/>
                <w:highlight w:val="none"/>
              </w:rPr>
            </w:pPr>
          </w:p>
        </w:tc>
        <w:tc>
          <w:tcPr>
            <w:tcW w:w="616" w:type="dxa"/>
            <w:vAlign w:val="center"/>
          </w:tcPr>
          <w:p w14:paraId="652EA5A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175</w:t>
            </w:r>
          </w:p>
        </w:tc>
        <w:tc>
          <w:tcPr>
            <w:tcW w:w="5971" w:type="dxa"/>
            <w:gridSpan w:val="3"/>
            <w:vAlign w:val="center"/>
          </w:tcPr>
          <w:p w14:paraId="6C4237E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施工中不许损坏其他专业、工种已完成的工程，不许污染墙面、地面做到人走地净。不符合上述规定的</w:t>
            </w:r>
          </w:p>
        </w:tc>
        <w:tc>
          <w:tcPr>
            <w:tcW w:w="1547" w:type="dxa"/>
            <w:vAlign w:val="center"/>
          </w:tcPr>
          <w:p w14:paraId="6EACB3E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259B1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0DEB4BA">
            <w:pPr>
              <w:spacing w:line="400" w:lineRule="exact"/>
              <w:rPr>
                <w:rFonts w:ascii="仿宋" w:hAnsi="仿宋" w:eastAsia="仿宋" w:cs="宋体"/>
                <w:color w:val="auto"/>
                <w:kern w:val="0"/>
                <w:sz w:val="20"/>
                <w:szCs w:val="21"/>
                <w:highlight w:val="none"/>
              </w:rPr>
            </w:pPr>
          </w:p>
        </w:tc>
        <w:tc>
          <w:tcPr>
            <w:tcW w:w="616" w:type="dxa"/>
            <w:vAlign w:val="center"/>
          </w:tcPr>
          <w:p w14:paraId="72B7B19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176</w:t>
            </w:r>
          </w:p>
        </w:tc>
        <w:tc>
          <w:tcPr>
            <w:tcW w:w="5971" w:type="dxa"/>
            <w:gridSpan w:val="3"/>
            <w:vAlign w:val="center"/>
          </w:tcPr>
          <w:p w14:paraId="3F9F02E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做好隐蔽工程检查验收和过程检查记录，未经监理工程师签字,不得实施隐蔽作业。不符合上述规定的</w:t>
            </w:r>
          </w:p>
        </w:tc>
        <w:tc>
          <w:tcPr>
            <w:tcW w:w="1547" w:type="dxa"/>
            <w:vAlign w:val="center"/>
          </w:tcPr>
          <w:p w14:paraId="49ADD0F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05104A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41F733B">
            <w:pPr>
              <w:spacing w:line="400" w:lineRule="exact"/>
              <w:rPr>
                <w:rFonts w:ascii="仿宋" w:hAnsi="仿宋" w:eastAsia="仿宋" w:cs="宋体"/>
                <w:color w:val="auto"/>
                <w:kern w:val="0"/>
                <w:sz w:val="20"/>
                <w:szCs w:val="21"/>
                <w:highlight w:val="none"/>
              </w:rPr>
            </w:pPr>
          </w:p>
        </w:tc>
        <w:tc>
          <w:tcPr>
            <w:tcW w:w="616" w:type="dxa"/>
            <w:vAlign w:val="center"/>
          </w:tcPr>
          <w:p w14:paraId="355C133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177</w:t>
            </w:r>
          </w:p>
        </w:tc>
        <w:tc>
          <w:tcPr>
            <w:tcW w:w="5971" w:type="dxa"/>
            <w:gridSpan w:val="3"/>
            <w:vAlign w:val="center"/>
          </w:tcPr>
          <w:p w14:paraId="346E49B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系统在安装调试完成后，应对系统进行自检，并对检测项目逐项检测同时应根据各个系统的不同要求在合里周期内对系统进行连续不中断试运行，并认真填写试运行记录和报告。不符合上述规定的</w:t>
            </w:r>
          </w:p>
        </w:tc>
        <w:tc>
          <w:tcPr>
            <w:tcW w:w="1547" w:type="dxa"/>
            <w:vAlign w:val="center"/>
          </w:tcPr>
          <w:p w14:paraId="7B1042D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4C8F4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CD75AAA">
            <w:pPr>
              <w:spacing w:line="400" w:lineRule="exact"/>
              <w:rPr>
                <w:rFonts w:ascii="仿宋" w:hAnsi="仿宋" w:eastAsia="仿宋" w:cs="宋体"/>
                <w:color w:val="auto"/>
                <w:kern w:val="0"/>
                <w:sz w:val="20"/>
                <w:szCs w:val="21"/>
                <w:highlight w:val="none"/>
              </w:rPr>
            </w:pPr>
          </w:p>
        </w:tc>
        <w:tc>
          <w:tcPr>
            <w:tcW w:w="616" w:type="dxa"/>
            <w:vAlign w:val="center"/>
          </w:tcPr>
          <w:p w14:paraId="1856385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178</w:t>
            </w:r>
          </w:p>
        </w:tc>
        <w:tc>
          <w:tcPr>
            <w:tcW w:w="5971" w:type="dxa"/>
            <w:gridSpan w:val="3"/>
            <w:vAlign w:val="center"/>
          </w:tcPr>
          <w:p w14:paraId="563DA2A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备监控系统中，应做好材料的外观检查，同时应按设计文件要求预留好设备的控制信号接入点、预埋管和预留孔的位置</w:t>
            </w:r>
          </w:p>
        </w:tc>
        <w:tc>
          <w:tcPr>
            <w:tcW w:w="1547" w:type="dxa"/>
            <w:vAlign w:val="center"/>
          </w:tcPr>
          <w:p w14:paraId="64879FC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2AE51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52D6917">
            <w:pPr>
              <w:spacing w:line="400" w:lineRule="exact"/>
              <w:rPr>
                <w:rFonts w:ascii="仿宋" w:hAnsi="仿宋" w:eastAsia="仿宋" w:cs="宋体"/>
                <w:color w:val="auto"/>
                <w:kern w:val="0"/>
                <w:sz w:val="20"/>
                <w:szCs w:val="21"/>
                <w:highlight w:val="none"/>
              </w:rPr>
            </w:pPr>
          </w:p>
        </w:tc>
        <w:tc>
          <w:tcPr>
            <w:tcW w:w="616" w:type="dxa"/>
            <w:vAlign w:val="center"/>
          </w:tcPr>
          <w:p w14:paraId="22A6DB7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179</w:t>
            </w:r>
          </w:p>
        </w:tc>
        <w:tc>
          <w:tcPr>
            <w:tcW w:w="5971" w:type="dxa"/>
            <w:gridSpan w:val="3"/>
            <w:vAlign w:val="center"/>
          </w:tcPr>
          <w:p w14:paraId="05E2C09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检测与设备监控系统的接口，建筑设备监控系统对火灾报警的响应及其火灾运行模式，未采用在现场模拟发出火灾信号的方式运行</w:t>
            </w:r>
          </w:p>
        </w:tc>
        <w:tc>
          <w:tcPr>
            <w:tcW w:w="1547" w:type="dxa"/>
            <w:vAlign w:val="center"/>
          </w:tcPr>
          <w:p w14:paraId="07B708C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674F9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57D1058">
            <w:pPr>
              <w:spacing w:line="400" w:lineRule="exact"/>
              <w:rPr>
                <w:rFonts w:ascii="仿宋" w:hAnsi="仿宋" w:eastAsia="仿宋" w:cs="宋体"/>
                <w:color w:val="auto"/>
                <w:kern w:val="0"/>
                <w:sz w:val="20"/>
                <w:szCs w:val="21"/>
                <w:highlight w:val="none"/>
              </w:rPr>
            </w:pPr>
          </w:p>
        </w:tc>
        <w:tc>
          <w:tcPr>
            <w:tcW w:w="616" w:type="dxa"/>
            <w:vAlign w:val="center"/>
          </w:tcPr>
          <w:p w14:paraId="28CD655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181</w:t>
            </w:r>
          </w:p>
        </w:tc>
        <w:tc>
          <w:tcPr>
            <w:tcW w:w="5971" w:type="dxa"/>
            <w:gridSpan w:val="3"/>
            <w:vAlign w:val="center"/>
          </w:tcPr>
          <w:p w14:paraId="1563EC4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安全防范系统中相应的视频安防监控系统、门禁系统、停车场管理系统对火灾报警的响应及火灾模式操作等功能的检测，未采用在现场模拟发出火灾报警信号的方式进行。</w:t>
            </w:r>
          </w:p>
        </w:tc>
        <w:tc>
          <w:tcPr>
            <w:tcW w:w="1547" w:type="dxa"/>
            <w:vAlign w:val="center"/>
          </w:tcPr>
          <w:p w14:paraId="6D99353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23FA06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BCE2F6C">
            <w:pPr>
              <w:spacing w:line="400" w:lineRule="exact"/>
              <w:rPr>
                <w:rFonts w:ascii="仿宋" w:hAnsi="仿宋" w:eastAsia="仿宋" w:cs="宋体"/>
                <w:color w:val="auto"/>
                <w:kern w:val="0"/>
                <w:sz w:val="20"/>
                <w:szCs w:val="21"/>
                <w:highlight w:val="none"/>
              </w:rPr>
            </w:pPr>
          </w:p>
        </w:tc>
        <w:tc>
          <w:tcPr>
            <w:tcW w:w="616" w:type="dxa"/>
            <w:vAlign w:val="center"/>
          </w:tcPr>
          <w:p w14:paraId="73F267C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182</w:t>
            </w:r>
          </w:p>
        </w:tc>
        <w:tc>
          <w:tcPr>
            <w:tcW w:w="5971" w:type="dxa"/>
            <w:gridSpan w:val="3"/>
            <w:vAlign w:val="center"/>
          </w:tcPr>
          <w:p w14:paraId="63DD473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安防系统中的各类探测器、控制器、执行器等部件的电气性能和功能应进行自检，自检部分应采用测试的形式进行，并做好详细记录</w:t>
            </w:r>
          </w:p>
        </w:tc>
        <w:tc>
          <w:tcPr>
            <w:tcW w:w="1547" w:type="dxa"/>
            <w:vAlign w:val="center"/>
          </w:tcPr>
          <w:p w14:paraId="0D864D4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788D08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A107DFD">
            <w:pPr>
              <w:spacing w:line="400" w:lineRule="exact"/>
              <w:rPr>
                <w:rFonts w:ascii="仿宋" w:hAnsi="仿宋" w:eastAsia="仿宋" w:cs="宋体"/>
                <w:color w:val="auto"/>
                <w:kern w:val="0"/>
                <w:sz w:val="20"/>
                <w:szCs w:val="21"/>
                <w:highlight w:val="none"/>
              </w:rPr>
            </w:pPr>
          </w:p>
        </w:tc>
        <w:tc>
          <w:tcPr>
            <w:tcW w:w="616" w:type="dxa"/>
            <w:vAlign w:val="center"/>
          </w:tcPr>
          <w:p w14:paraId="1CFFCF6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183</w:t>
            </w:r>
          </w:p>
        </w:tc>
        <w:tc>
          <w:tcPr>
            <w:tcW w:w="5971" w:type="dxa"/>
            <w:gridSpan w:val="3"/>
            <w:vAlign w:val="center"/>
          </w:tcPr>
          <w:p w14:paraId="2CA8506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综合布线系统在施工完成后应对工安装质量、观感质量和系统性能检测项目全部进行检查，做好整改工作，并认真填写系统</w:t>
            </w:r>
          </w:p>
          <w:p w14:paraId="425C346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自检表</w:t>
            </w:r>
          </w:p>
        </w:tc>
        <w:tc>
          <w:tcPr>
            <w:tcW w:w="1547" w:type="dxa"/>
            <w:vAlign w:val="center"/>
          </w:tcPr>
          <w:p w14:paraId="0206ED9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53C75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5D96CF22">
            <w:pPr>
              <w:spacing w:line="400" w:lineRule="exact"/>
              <w:rPr>
                <w:rFonts w:ascii="仿宋" w:hAnsi="仿宋" w:eastAsia="仿宋" w:cs="宋体"/>
                <w:color w:val="auto"/>
                <w:kern w:val="0"/>
                <w:sz w:val="20"/>
                <w:szCs w:val="21"/>
                <w:highlight w:val="none"/>
              </w:rPr>
            </w:pPr>
          </w:p>
        </w:tc>
        <w:tc>
          <w:tcPr>
            <w:tcW w:w="616" w:type="dxa"/>
            <w:vAlign w:val="center"/>
          </w:tcPr>
          <w:p w14:paraId="05F3A3F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184</w:t>
            </w:r>
          </w:p>
        </w:tc>
        <w:tc>
          <w:tcPr>
            <w:tcW w:w="5971" w:type="dxa"/>
            <w:gridSpan w:val="3"/>
            <w:vAlign w:val="center"/>
          </w:tcPr>
          <w:p w14:paraId="113EC6A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安装同一室内的信息插面板应保在同一水平面上，插座应有表示所接终端设备类型的标签</w:t>
            </w:r>
          </w:p>
        </w:tc>
        <w:tc>
          <w:tcPr>
            <w:tcW w:w="1547" w:type="dxa"/>
            <w:vAlign w:val="center"/>
          </w:tcPr>
          <w:p w14:paraId="237F023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087A55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552AFE5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空调</w:t>
            </w:r>
          </w:p>
        </w:tc>
        <w:tc>
          <w:tcPr>
            <w:tcW w:w="616" w:type="dxa"/>
            <w:vAlign w:val="center"/>
          </w:tcPr>
          <w:p w14:paraId="2F74991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185</w:t>
            </w:r>
          </w:p>
        </w:tc>
        <w:tc>
          <w:tcPr>
            <w:tcW w:w="5971" w:type="dxa"/>
            <w:gridSpan w:val="3"/>
            <w:vAlign w:val="center"/>
          </w:tcPr>
          <w:p w14:paraId="17DEDB3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未编制专项施工组织设计或施工方案：或方案未经批准而擅自施工的</w:t>
            </w:r>
          </w:p>
        </w:tc>
        <w:tc>
          <w:tcPr>
            <w:tcW w:w="1547" w:type="dxa"/>
            <w:vAlign w:val="center"/>
          </w:tcPr>
          <w:p w14:paraId="562DE1F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71B1B2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137B863D">
            <w:pPr>
              <w:spacing w:line="400" w:lineRule="exact"/>
              <w:rPr>
                <w:rFonts w:ascii="仿宋" w:hAnsi="仿宋" w:eastAsia="仿宋" w:cs="宋体"/>
                <w:color w:val="auto"/>
                <w:kern w:val="0"/>
                <w:sz w:val="20"/>
                <w:szCs w:val="21"/>
                <w:highlight w:val="none"/>
              </w:rPr>
            </w:pPr>
          </w:p>
        </w:tc>
        <w:tc>
          <w:tcPr>
            <w:tcW w:w="616" w:type="dxa"/>
            <w:vAlign w:val="center"/>
          </w:tcPr>
          <w:p w14:paraId="29A8762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186</w:t>
            </w:r>
          </w:p>
        </w:tc>
        <w:tc>
          <w:tcPr>
            <w:tcW w:w="5971" w:type="dxa"/>
            <w:gridSpan w:val="3"/>
            <w:vAlign w:val="center"/>
          </w:tcPr>
          <w:p w14:paraId="2E6CB91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主要材料成品、半成品和没备进场未报验使用，或未经监理工程师核查确认的</w:t>
            </w:r>
          </w:p>
        </w:tc>
        <w:tc>
          <w:tcPr>
            <w:tcW w:w="1547" w:type="dxa"/>
            <w:vAlign w:val="center"/>
          </w:tcPr>
          <w:p w14:paraId="0D4B9DE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2B91A0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779C2E3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通风分部</w:t>
            </w:r>
          </w:p>
        </w:tc>
        <w:tc>
          <w:tcPr>
            <w:tcW w:w="616" w:type="dxa"/>
            <w:vAlign w:val="center"/>
          </w:tcPr>
          <w:p w14:paraId="2D21DCE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187</w:t>
            </w:r>
          </w:p>
        </w:tc>
        <w:tc>
          <w:tcPr>
            <w:tcW w:w="5971" w:type="dxa"/>
            <w:gridSpan w:val="3"/>
            <w:vAlign w:val="center"/>
          </w:tcPr>
          <w:p w14:paraId="2132C69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隐程未经验收或未形成记录的每部位</w:t>
            </w:r>
          </w:p>
        </w:tc>
        <w:tc>
          <w:tcPr>
            <w:tcW w:w="1547" w:type="dxa"/>
            <w:vAlign w:val="center"/>
          </w:tcPr>
          <w:p w14:paraId="09E3922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6DC69F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6E08CE53">
            <w:pPr>
              <w:spacing w:line="400" w:lineRule="exact"/>
              <w:rPr>
                <w:rFonts w:ascii="仿宋" w:hAnsi="仿宋" w:eastAsia="仿宋" w:cs="宋体"/>
                <w:color w:val="auto"/>
                <w:kern w:val="0"/>
                <w:sz w:val="20"/>
                <w:szCs w:val="21"/>
                <w:highlight w:val="none"/>
              </w:rPr>
            </w:pPr>
          </w:p>
        </w:tc>
        <w:tc>
          <w:tcPr>
            <w:tcW w:w="616" w:type="dxa"/>
            <w:vAlign w:val="center"/>
          </w:tcPr>
          <w:p w14:paraId="6D0078C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188</w:t>
            </w:r>
          </w:p>
        </w:tc>
        <w:tc>
          <w:tcPr>
            <w:tcW w:w="5971" w:type="dxa"/>
            <w:gridSpan w:val="3"/>
            <w:vAlign w:val="center"/>
          </w:tcPr>
          <w:p w14:paraId="20A479F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风管连接不符合施工规范要求的</w:t>
            </w:r>
          </w:p>
        </w:tc>
        <w:tc>
          <w:tcPr>
            <w:tcW w:w="1547" w:type="dxa"/>
            <w:vAlign w:val="center"/>
          </w:tcPr>
          <w:p w14:paraId="543FFDD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71B0C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F725B40">
            <w:pPr>
              <w:spacing w:line="400" w:lineRule="exact"/>
              <w:rPr>
                <w:rFonts w:ascii="仿宋" w:hAnsi="仿宋" w:eastAsia="仿宋" w:cs="宋体"/>
                <w:color w:val="auto"/>
                <w:kern w:val="0"/>
                <w:sz w:val="20"/>
                <w:szCs w:val="21"/>
                <w:highlight w:val="none"/>
              </w:rPr>
            </w:pPr>
          </w:p>
        </w:tc>
        <w:tc>
          <w:tcPr>
            <w:tcW w:w="616" w:type="dxa"/>
            <w:vAlign w:val="center"/>
          </w:tcPr>
          <w:p w14:paraId="3B5F51D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189</w:t>
            </w:r>
          </w:p>
        </w:tc>
        <w:tc>
          <w:tcPr>
            <w:tcW w:w="5971" w:type="dxa"/>
            <w:gridSpan w:val="3"/>
            <w:vAlign w:val="center"/>
          </w:tcPr>
          <w:p w14:paraId="3A9E6B5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避震器规格不符合要求的</w:t>
            </w:r>
          </w:p>
        </w:tc>
        <w:tc>
          <w:tcPr>
            <w:tcW w:w="1547" w:type="dxa"/>
            <w:vAlign w:val="center"/>
          </w:tcPr>
          <w:p w14:paraId="2D3585A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10EC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81495C4">
            <w:pPr>
              <w:spacing w:line="400" w:lineRule="exact"/>
              <w:rPr>
                <w:rFonts w:ascii="仿宋" w:hAnsi="仿宋" w:eastAsia="仿宋" w:cs="宋体"/>
                <w:color w:val="auto"/>
                <w:kern w:val="0"/>
                <w:sz w:val="20"/>
                <w:szCs w:val="21"/>
                <w:highlight w:val="none"/>
              </w:rPr>
            </w:pPr>
          </w:p>
        </w:tc>
        <w:tc>
          <w:tcPr>
            <w:tcW w:w="616" w:type="dxa"/>
            <w:vAlign w:val="center"/>
          </w:tcPr>
          <w:p w14:paraId="389D29F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190</w:t>
            </w:r>
          </w:p>
        </w:tc>
        <w:tc>
          <w:tcPr>
            <w:tcW w:w="5971" w:type="dxa"/>
            <w:gridSpan w:val="3"/>
            <w:vAlign w:val="center"/>
          </w:tcPr>
          <w:p w14:paraId="53F476A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空调通风材料设备等成品、半成品进场后未做好保护的，造缺陷的</w:t>
            </w:r>
          </w:p>
        </w:tc>
        <w:tc>
          <w:tcPr>
            <w:tcW w:w="1547" w:type="dxa"/>
            <w:vAlign w:val="center"/>
          </w:tcPr>
          <w:p w14:paraId="1BFA25C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p w14:paraId="1420D1E6">
            <w:pPr>
              <w:spacing w:line="400" w:lineRule="exact"/>
              <w:jc w:val="center"/>
              <w:rPr>
                <w:rFonts w:ascii="仿宋" w:hAnsi="仿宋" w:eastAsia="仿宋" w:cs="宋体"/>
                <w:color w:val="auto"/>
                <w:kern w:val="0"/>
                <w:sz w:val="20"/>
                <w:szCs w:val="21"/>
                <w:highlight w:val="none"/>
              </w:rPr>
            </w:pPr>
          </w:p>
        </w:tc>
      </w:tr>
      <w:tr w14:paraId="0A62FD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338CB4EB">
            <w:pPr>
              <w:spacing w:line="400" w:lineRule="exact"/>
              <w:rPr>
                <w:rFonts w:ascii="仿宋" w:hAnsi="仿宋" w:eastAsia="仿宋" w:cs="宋体"/>
                <w:color w:val="auto"/>
                <w:kern w:val="0"/>
                <w:sz w:val="20"/>
                <w:szCs w:val="21"/>
                <w:highlight w:val="none"/>
              </w:rPr>
            </w:pPr>
          </w:p>
        </w:tc>
        <w:tc>
          <w:tcPr>
            <w:tcW w:w="616" w:type="dxa"/>
            <w:vAlign w:val="center"/>
          </w:tcPr>
          <w:p w14:paraId="3028B56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191</w:t>
            </w:r>
          </w:p>
        </w:tc>
        <w:tc>
          <w:tcPr>
            <w:tcW w:w="5971" w:type="dxa"/>
            <w:gridSpan w:val="3"/>
            <w:vAlign w:val="center"/>
          </w:tcPr>
          <w:p w14:paraId="5E24FB6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风管严密连接完工后，未经透光检测核查确认合格后私自进行保温</w:t>
            </w:r>
          </w:p>
        </w:tc>
        <w:tc>
          <w:tcPr>
            <w:tcW w:w="1547" w:type="dxa"/>
            <w:vAlign w:val="center"/>
          </w:tcPr>
          <w:p w14:paraId="691DB66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B5C9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7D5137B3">
            <w:pPr>
              <w:spacing w:line="400" w:lineRule="exact"/>
              <w:rPr>
                <w:rFonts w:ascii="仿宋" w:hAnsi="仿宋" w:eastAsia="仿宋" w:cs="宋体"/>
                <w:color w:val="auto"/>
                <w:kern w:val="0"/>
                <w:sz w:val="20"/>
                <w:szCs w:val="21"/>
                <w:highlight w:val="none"/>
              </w:rPr>
            </w:pPr>
          </w:p>
        </w:tc>
        <w:tc>
          <w:tcPr>
            <w:tcW w:w="616" w:type="dxa"/>
            <w:vAlign w:val="center"/>
          </w:tcPr>
          <w:p w14:paraId="4202D37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192</w:t>
            </w:r>
          </w:p>
        </w:tc>
        <w:tc>
          <w:tcPr>
            <w:tcW w:w="5971" w:type="dxa"/>
            <w:gridSpan w:val="3"/>
            <w:vAlign w:val="center"/>
          </w:tcPr>
          <w:p w14:paraId="5285D98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风管镀锌铁皮厚度不符合施工规范要求的</w:t>
            </w:r>
          </w:p>
        </w:tc>
        <w:tc>
          <w:tcPr>
            <w:tcW w:w="1547" w:type="dxa"/>
            <w:vAlign w:val="center"/>
          </w:tcPr>
          <w:p w14:paraId="59ED7BB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1F706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BE96E58">
            <w:pPr>
              <w:spacing w:line="400" w:lineRule="exact"/>
              <w:rPr>
                <w:rFonts w:ascii="仿宋" w:hAnsi="仿宋" w:eastAsia="仿宋" w:cs="宋体"/>
                <w:color w:val="auto"/>
                <w:kern w:val="0"/>
                <w:sz w:val="20"/>
                <w:szCs w:val="21"/>
                <w:highlight w:val="none"/>
              </w:rPr>
            </w:pPr>
          </w:p>
        </w:tc>
        <w:tc>
          <w:tcPr>
            <w:tcW w:w="616" w:type="dxa"/>
            <w:vAlign w:val="center"/>
          </w:tcPr>
          <w:p w14:paraId="33CACCA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193</w:t>
            </w:r>
          </w:p>
        </w:tc>
        <w:tc>
          <w:tcPr>
            <w:tcW w:w="5971" w:type="dxa"/>
            <w:gridSpan w:val="3"/>
            <w:vAlign w:val="center"/>
          </w:tcPr>
          <w:p w14:paraId="71D21BD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大尺寸风管内部未加固支撑，不符合施工规范要求的</w:t>
            </w:r>
          </w:p>
        </w:tc>
        <w:tc>
          <w:tcPr>
            <w:tcW w:w="1547" w:type="dxa"/>
            <w:vAlign w:val="center"/>
          </w:tcPr>
          <w:p w14:paraId="1A31FE0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44F7CF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E9BBF1F">
            <w:pPr>
              <w:spacing w:line="400" w:lineRule="exact"/>
              <w:rPr>
                <w:rFonts w:ascii="仿宋" w:hAnsi="仿宋" w:eastAsia="仿宋" w:cs="宋体"/>
                <w:color w:val="auto"/>
                <w:kern w:val="0"/>
                <w:sz w:val="20"/>
                <w:szCs w:val="21"/>
                <w:highlight w:val="none"/>
              </w:rPr>
            </w:pPr>
          </w:p>
        </w:tc>
        <w:tc>
          <w:tcPr>
            <w:tcW w:w="616" w:type="dxa"/>
            <w:vAlign w:val="center"/>
          </w:tcPr>
          <w:p w14:paraId="5DC79D3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194</w:t>
            </w:r>
          </w:p>
        </w:tc>
        <w:tc>
          <w:tcPr>
            <w:tcW w:w="5971" w:type="dxa"/>
            <w:gridSpan w:val="3"/>
            <w:vAlign w:val="center"/>
          </w:tcPr>
          <w:p w14:paraId="56BED93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空调通风风管设备吊架安装支撑，不符合施工规范要求的</w:t>
            </w:r>
          </w:p>
        </w:tc>
        <w:tc>
          <w:tcPr>
            <w:tcW w:w="1547" w:type="dxa"/>
            <w:vAlign w:val="center"/>
          </w:tcPr>
          <w:p w14:paraId="75EB318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86CEF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04D2338D">
            <w:pPr>
              <w:spacing w:line="400" w:lineRule="exact"/>
              <w:rPr>
                <w:rFonts w:ascii="仿宋" w:hAnsi="仿宋" w:eastAsia="仿宋" w:cs="宋体"/>
                <w:color w:val="auto"/>
                <w:kern w:val="0"/>
                <w:sz w:val="20"/>
                <w:szCs w:val="21"/>
                <w:highlight w:val="none"/>
              </w:rPr>
            </w:pPr>
          </w:p>
        </w:tc>
        <w:tc>
          <w:tcPr>
            <w:tcW w:w="616" w:type="dxa"/>
            <w:vAlign w:val="center"/>
          </w:tcPr>
          <w:p w14:paraId="10B8CDC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195</w:t>
            </w:r>
          </w:p>
        </w:tc>
        <w:tc>
          <w:tcPr>
            <w:tcW w:w="5971" w:type="dxa"/>
            <w:gridSpan w:val="3"/>
            <w:vAlign w:val="center"/>
          </w:tcPr>
          <w:p w14:paraId="0DB92F5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风管穿越墙板，预留开孔边未依规定填塞，不符合施工规范要求的</w:t>
            </w:r>
          </w:p>
        </w:tc>
        <w:tc>
          <w:tcPr>
            <w:tcW w:w="1547" w:type="dxa"/>
            <w:vAlign w:val="center"/>
          </w:tcPr>
          <w:p w14:paraId="08677B7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27C77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B3B17F7">
            <w:pPr>
              <w:spacing w:line="400" w:lineRule="exact"/>
              <w:rPr>
                <w:rFonts w:ascii="仿宋" w:hAnsi="仿宋" w:eastAsia="仿宋" w:cs="宋体"/>
                <w:color w:val="auto"/>
                <w:kern w:val="0"/>
                <w:sz w:val="20"/>
                <w:szCs w:val="21"/>
                <w:highlight w:val="none"/>
              </w:rPr>
            </w:pPr>
          </w:p>
        </w:tc>
        <w:tc>
          <w:tcPr>
            <w:tcW w:w="616" w:type="dxa"/>
            <w:vAlign w:val="center"/>
          </w:tcPr>
          <w:p w14:paraId="79C1F85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196</w:t>
            </w:r>
          </w:p>
        </w:tc>
        <w:tc>
          <w:tcPr>
            <w:tcW w:w="5971" w:type="dxa"/>
            <w:gridSpan w:val="3"/>
            <w:vAlign w:val="center"/>
          </w:tcPr>
          <w:p w14:paraId="405D158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风管穿越防火墙板时未依规定安装防火阀门，不符合施工规范</w:t>
            </w:r>
          </w:p>
          <w:p w14:paraId="6BCD342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要求的</w:t>
            </w:r>
          </w:p>
        </w:tc>
        <w:tc>
          <w:tcPr>
            <w:tcW w:w="1547" w:type="dxa"/>
            <w:vAlign w:val="center"/>
          </w:tcPr>
          <w:p w14:paraId="7BBE653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57C0F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2D3366D8">
            <w:pPr>
              <w:spacing w:line="400" w:lineRule="exact"/>
              <w:rPr>
                <w:rFonts w:ascii="仿宋" w:hAnsi="仿宋" w:eastAsia="仿宋" w:cs="宋体"/>
                <w:color w:val="auto"/>
                <w:kern w:val="0"/>
                <w:sz w:val="20"/>
                <w:szCs w:val="21"/>
                <w:highlight w:val="none"/>
              </w:rPr>
            </w:pPr>
          </w:p>
        </w:tc>
        <w:tc>
          <w:tcPr>
            <w:tcW w:w="616" w:type="dxa"/>
            <w:vAlign w:val="center"/>
          </w:tcPr>
          <w:p w14:paraId="16B3785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197</w:t>
            </w:r>
          </w:p>
        </w:tc>
        <w:tc>
          <w:tcPr>
            <w:tcW w:w="5971" w:type="dxa"/>
            <w:gridSpan w:val="3"/>
            <w:vAlign w:val="center"/>
          </w:tcPr>
          <w:p w14:paraId="35F16C1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空调通风风管设备吊装安装位置标高未按施工图要求施工的。</w:t>
            </w:r>
          </w:p>
        </w:tc>
        <w:tc>
          <w:tcPr>
            <w:tcW w:w="1547" w:type="dxa"/>
            <w:vAlign w:val="center"/>
          </w:tcPr>
          <w:p w14:paraId="5AC6F25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147766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restart"/>
            <w:vAlign w:val="center"/>
          </w:tcPr>
          <w:p w14:paraId="6C9C9BC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其他</w:t>
            </w:r>
          </w:p>
        </w:tc>
        <w:tc>
          <w:tcPr>
            <w:tcW w:w="616" w:type="dxa"/>
            <w:vAlign w:val="center"/>
          </w:tcPr>
          <w:p w14:paraId="32AB2FA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198</w:t>
            </w:r>
          </w:p>
        </w:tc>
        <w:tc>
          <w:tcPr>
            <w:tcW w:w="7518" w:type="dxa"/>
            <w:gridSpan w:val="4"/>
            <w:vAlign w:val="center"/>
          </w:tcPr>
          <w:p w14:paraId="45EF863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未涉及的内容或有其他违反</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与</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签订的合同、安全文明施工协议、工程质量保修书或其他合同附件的行为，</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可按1000~100000元每次酌情予以处罚。</w:t>
            </w:r>
          </w:p>
        </w:tc>
      </w:tr>
      <w:tr w14:paraId="76CD64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426" w:type="dxa"/>
            <w:vMerge w:val="continue"/>
            <w:vAlign w:val="center"/>
          </w:tcPr>
          <w:p w14:paraId="463A98FC">
            <w:pPr>
              <w:spacing w:line="400" w:lineRule="exact"/>
              <w:rPr>
                <w:rFonts w:ascii="仿宋" w:hAnsi="仿宋" w:eastAsia="仿宋" w:cs="宋体"/>
                <w:color w:val="auto"/>
                <w:kern w:val="0"/>
                <w:sz w:val="20"/>
                <w:szCs w:val="21"/>
                <w:highlight w:val="none"/>
              </w:rPr>
            </w:pPr>
          </w:p>
        </w:tc>
        <w:tc>
          <w:tcPr>
            <w:tcW w:w="616" w:type="dxa"/>
            <w:vAlign w:val="center"/>
          </w:tcPr>
          <w:p w14:paraId="4A5222B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199</w:t>
            </w:r>
          </w:p>
        </w:tc>
        <w:tc>
          <w:tcPr>
            <w:tcW w:w="7518" w:type="dxa"/>
            <w:gridSpan w:val="4"/>
            <w:vAlign w:val="center"/>
          </w:tcPr>
          <w:p w14:paraId="077C393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凡</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依照本细则接收处罚后，不影响其应作出整改或向</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支付违约金，作出赔偿等其他一切应当由</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履行的义务。若</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逾期整改或重复再犯的、</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就同一事项处罚的并不视为重复处罚，且</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有权酌情加重处罚</w:t>
            </w:r>
          </w:p>
        </w:tc>
      </w:tr>
    </w:tbl>
    <w:p w14:paraId="250D5A01">
      <w:pPr>
        <w:pStyle w:val="36"/>
        <w:ind w:firstLine="0"/>
        <w:rPr>
          <w:rFonts w:ascii="仿宋" w:hAnsi="仿宋" w:eastAsia="仿宋"/>
          <w:color w:val="auto"/>
          <w:highlight w:val="none"/>
        </w:rPr>
      </w:pPr>
    </w:p>
    <w:p w14:paraId="36FC5554">
      <w:pPr>
        <w:jc w:val="left"/>
        <w:outlineLvl w:val="1"/>
        <w:rPr>
          <w:rFonts w:ascii="仿宋" w:hAnsi="仿宋" w:eastAsia="仿宋"/>
          <w:b/>
          <w:bCs/>
          <w:color w:val="auto"/>
          <w:kern w:val="0"/>
          <w:sz w:val="24"/>
          <w:szCs w:val="24"/>
          <w:highlight w:val="none"/>
        </w:rPr>
      </w:pPr>
      <w:bookmarkStart w:id="37" w:name="_Toc6268"/>
      <w:r>
        <w:rPr>
          <w:rFonts w:hint="eastAsia" w:ascii="仿宋" w:hAnsi="仿宋" w:eastAsia="仿宋"/>
          <w:b/>
          <w:bCs/>
          <w:color w:val="auto"/>
          <w:kern w:val="0"/>
          <w:sz w:val="24"/>
          <w:szCs w:val="24"/>
          <w:highlight w:val="none"/>
        </w:rPr>
        <w:t xml:space="preserve">第三条 </w:t>
      </w:r>
      <w:r>
        <w:rPr>
          <w:rFonts w:ascii="仿宋" w:hAnsi="仿宋" w:eastAsia="仿宋"/>
          <w:b/>
          <w:bCs/>
          <w:color w:val="auto"/>
          <w:kern w:val="0"/>
          <w:sz w:val="24"/>
          <w:szCs w:val="24"/>
          <w:highlight w:val="none"/>
        </w:rPr>
        <w:t xml:space="preserve"> </w:t>
      </w:r>
      <w:r>
        <w:rPr>
          <w:rFonts w:hint="eastAsia" w:ascii="仿宋" w:hAnsi="仿宋" w:eastAsia="仿宋"/>
          <w:b/>
          <w:bCs/>
          <w:color w:val="auto"/>
          <w:kern w:val="0"/>
          <w:sz w:val="24"/>
          <w:szCs w:val="24"/>
          <w:highlight w:val="none"/>
        </w:rPr>
        <w:t>安全文明施工方面</w:t>
      </w:r>
      <w:bookmarkEnd w:id="37"/>
    </w:p>
    <w:p w14:paraId="7D466047">
      <w:pPr>
        <w:rPr>
          <w:rFonts w:ascii="仿宋" w:hAnsi="仿宋" w:eastAsia="仿宋" w:cs="宋体"/>
          <w:color w:val="auto"/>
          <w:szCs w:val="21"/>
          <w:highlight w:val="none"/>
        </w:rPr>
      </w:pPr>
      <w:r>
        <w:rPr>
          <w:rFonts w:ascii="仿宋" w:hAnsi="仿宋" w:eastAsia="仿宋" w:cs="宋体"/>
          <w:bCs/>
          <w:color w:val="auto"/>
          <w:szCs w:val="21"/>
          <w:highlight w:val="none"/>
        </w:rPr>
        <w:t>1</w:t>
      </w:r>
      <w:r>
        <w:rPr>
          <w:rFonts w:hint="eastAsia" w:ascii="仿宋" w:hAnsi="仿宋" w:eastAsia="仿宋" w:cs="宋体"/>
          <w:bCs/>
          <w:color w:val="auto"/>
          <w:szCs w:val="21"/>
          <w:highlight w:val="none"/>
        </w:rPr>
        <w:t>、</w:t>
      </w:r>
      <w:r>
        <w:rPr>
          <w:rFonts w:hint="eastAsia" w:ascii="仿宋" w:hAnsi="仿宋" w:eastAsia="仿宋" w:cs="宋体"/>
          <w:color w:val="auto"/>
          <w:szCs w:val="21"/>
          <w:highlight w:val="none"/>
        </w:rPr>
        <w:t>现场安全文明施工纪律</w:t>
      </w:r>
    </w:p>
    <w:tbl>
      <w:tblPr>
        <w:tblStyle w:val="3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7"/>
        <w:gridCol w:w="4854"/>
        <w:gridCol w:w="1338"/>
        <w:gridCol w:w="1623"/>
      </w:tblGrid>
      <w:tr w14:paraId="6B4325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707" w:type="dxa"/>
            <w:vAlign w:val="center"/>
          </w:tcPr>
          <w:p w14:paraId="5901B99A">
            <w:pPr>
              <w:spacing w:line="400" w:lineRule="exact"/>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序号</w:t>
            </w:r>
          </w:p>
        </w:tc>
        <w:tc>
          <w:tcPr>
            <w:tcW w:w="4854" w:type="dxa"/>
            <w:vAlign w:val="center"/>
          </w:tcPr>
          <w:p w14:paraId="0E561069">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项目</w:t>
            </w:r>
          </w:p>
        </w:tc>
        <w:tc>
          <w:tcPr>
            <w:tcW w:w="1338" w:type="dxa"/>
            <w:vAlign w:val="center"/>
          </w:tcPr>
          <w:p w14:paraId="11D2A787">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检查标准</w:t>
            </w:r>
          </w:p>
        </w:tc>
        <w:tc>
          <w:tcPr>
            <w:tcW w:w="1623" w:type="dxa"/>
            <w:vAlign w:val="center"/>
          </w:tcPr>
          <w:p w14:paraId="088180A0">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lang w:val="en-US" w:eastAsia="zh-CN"/>
              </w:rPr>
              <w:t>违约金</w:t>
            </w:r>
            <w:r>
              <w:rPr>
                <w:rFonts w:hint="eastAsia" w:ascii="仿宋" w:hAnsi="仿宋" w:eastAsia="仿宋" w:cs="宋体"/>
                <w:b/>
                <w:color w:val="auto"/>
                <w:kern w:val="0"/>
                <w:sz w:val="20"/>
                <w:szCs w:val="21"/>
                <w:highlight w:val="none"/>
              </w:rPr>
              <w:t>标准</w:t>
            </w:r>
          </w:p>
        </w:tc>
      </w:tr>
      <w:tr w14:paraId="44DE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4"/>
            <w:vAlign w:val="center"/>
          </w:tcPr>
          <w:p w14:paraId="5DA2ADD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现场安全文明施工纪律</w:t>
            </w:r>
          </w:p>
        </w:tc>
      </w:tr>
      <w:tr w14:paraId="6C3FF3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1939CB31">
            <w:pPr>
              <w:spacing w:line="32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w:t>
            </w:r>
          </w:p>
        </w:tc>
        <w:tc>
          <w:tcPr>
            <w:tcW w:w="6192" w:type="dxa"/>
            <w:gridSpan w:val="2"/>
            <w:vAlign w:val="center"/>
          </w:tcPr>
          <w:p w14:paraId="25CEE53D">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进入施工现场的人员，要注意各种安全标志，并自觉遵守标牌要求和现场规定</w:t>
            </w:r>
          </w:p>
        </w:tc>
        <w:tc>
          <w:tcPr>
            <w:tcW w:w="1623" w:type="dxa"/>
            <w:vAlign w:val="center"/>
          </w:tcPr>
          <w:p w14:paraId="6CEA5C5D">
            <w:pPr>
              <w:spacing w:line="400" w:lineRule="exact"/>
              <w:rPr>
                <w:rFonts w:ascii="仿宋" w:hAnsi="仿宋" w:eastAsia="仿宋" w:cs="宋体"/>
                <w:color w:val="auto"/>
                <w:kern w:val="0"/>
                <w:sz w:val="20"/>
                <w:szCs w:val="21"/>
                <w:highlight w:val="none"/>
              </w:rPr>
            </w:pPr>
          </w:p>
        </w:tc>
      </w:tr>
      <w:tr w14:paraId="2606A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5704594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w:t>
            </w:r>
          </w:p>
        </w:tc>
        <w:tc>
          <w:tcPr>
            <w:tcW w:w="6192" w:type="dxa"/>
            <w:gridSpan w:val="2"/>
            <w:vAlign w:val="center"/>
          </w:tcPr>
          <w:p w14:paraId="19B76A7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进入施工现场必须正确佩戴安全帽，系好下颚带</w:t>
            </w:r>
          </w:p>
        </w:tc>
        <w:tc>
          <w:tcPr>
            <w:tcW w:w="1623" w:type="dxa"/>
            <w:vAlign w:val="center"/>
          </w:tcPr>
          <w:p w14:paraId="06E7D05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200元/人次</w:t>
            </w:r>
          </w:p>
        </w:tc>
      </w:tr>
      <w:tr w14:paraId="7F59B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4EECF5E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w:t>
            </w:r>
          </w:p>
        </w:tc>
        <w:tc>
          <w:tcPr>
            <w:tcW w:w="6192" w:type="dxa"/>
            <w:gridSpan w:val="2"/>
            <w:vAlign w:val="center"/>
          </w:tcPr>
          <w:p w14:paraId="49DEA87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进入施工现场要正确穿戴个人防护用品</w:t>
            </w:r>
          </w:p>
        </w:tc>
        <w:tc>
          <w:tcPr>
            <w:tcW w:w="1623" w:type="dxa"/>
            <w:vAlign w:val="center"/>
          </w:tcPr>
          <w:p w14:paraId="666B9DE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200元/人次</w:t>
            </w:r>
          </w:p>
        </w:tc>
      </w:tr>
      <w:tr w14:paraId="377F1D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06831FE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w:t>
            </w:r>
          </w:p>
        </w:tc>
        <w:tc>
          <w:tcPr>
            <w:tcW w:w="6192" w:type="dxa"/>
            <w:gridSpan w:val="2"/>
            <w:vAlign w:val="center"/>
          </w:tcPr>
          <w:p w14:paraId="679B3E8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进入施工现场的人员严禁穿拖鞋、凉鞋、高跟鞋、背心、短裤、裙装。严禁在现场内赤膊、赤脚及</w:t>
            </w:r>
          </w:p>
        </w:tc>
        <w:tc>
          <w:tcPr>
            <w:tcW w:w="1623" w:type="dxa"/>
            <w:vAlign w:val="center"/>
          </w:tcPr>
          <w:p w14:paraId="1843103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200元/人/次</w:t>
            </w:r>
          </w:p>
          <w:p w14:paraId="4A2FBBC9">
            <w:pPr>
              <w:spacing w:line="400" w:lineRule="exact"/>
              <w:jc w:val="center"/>
              <w:rPr>
                <w:rFonts w:ascii="仿宋" w:hAnsi="仿宋" w:eastAsia="仿宋" w:cs="宋体"/>
                <w:color w:val="auto"/>
                <w:kern w:val="0"/>
                <w:sz w:val="20"/>
                <w:szCs w:val="21"/>
                <w:highlight w:val="none"/>
              </w:rPr>
            </w:pPr>
          </w:p>
        </w:tc>
      </w:tr>
      <w:tr w14:paraId="66CCD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2D5BDCB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w:t>
            </w:r>
          </w:p>
        </w:tc>
        <w:tc>
          <w:tcPr>
            <w:tcW w:w="6192" w:type="dxa"/>
            <w:gridSpan w:val="2"/>
            <w:vAlign w:val="center"/>
          </w:tcPr>
          <w:p w14:paraId="5379876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从事尘毒及特殊作业的人员，应穿着专用防护用品</w:t>
            </w:r>
          </w:p>
        </w:tc>
        <w:tc>
          <w:tcPr>
            <w:tcW w:w="1623" w:type="dxa"/>
            <w:vAlign w:val="center"/>
          </w:tcPr>
          <w:p w14:paraId="20D5D9B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200元/人/次</w:t>
            </w:r>
          </w:p>
        </w:tc>
      </w:tr>
      <w:tr w14:paraId="55B330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150B2FE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w:t>
            </w:r>
          </w:p>
        </w:tc>
        <w:tc>
          <w:tcPr>
            <w:tcW w:w="6192" w:type="dxa"/>
            <w:gridSpan w:val="2"/>
            <w:vAlign w:val="center"/>
          </w:tcPr>
          <w:p w14:paraId="4CD7686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酒后进入施工现场</w:t>
            </w:r>
          </w:p>
        </w:tc>
        <w:tc>
          <w:tcPr>
            <w:tcW w:w="1623" w:type="dxa"/>
            <w:vAlign w:val="center"/>
          </w:tcPr>
          <w:p w14:paraId="4017972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500元/人/次</w:t>
            </w:r>
          </w:p>
        </w:tc>
      </w:tr>
      <w:tr w14:paraId="0074E9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781CE67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w:t>
            </w:r>
          </w:p>
        </w:tc>
        <w:tc>
          <w:tcPr>
            <w:tcW w:w="6192" w:type="dxa"/>
            <w:gridSpan w:val="2"/>
            <w:vAlign w:val="center"/>
          </w:tcPr>
          <w:p w14:paraId="01AA925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禁在施工现场吸烟点以外的任何地点吸烟</w:t>
            </w:r>
          </w:p>
        </w:tc>
        <w:tc>
          <w:tcPr>
            <w:tcW w:w="1623" w:type="dxa"/>
            <w:vAlign w:val="center"/>
          </w:tcPr>
          <w:p w14:paraId="4BD6F91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200元/人/次</w:t>
            </w:r>
          </w:p>
        </w:tc>
      </w:tr>
      <w:tr w14:paraId="7F7543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438C4C7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 xml:space="preserve"> 8</w:t>
            </w:r>
          </w:p>
        </w:tc>
        <w:tc>
          <w:tcPr>
            <w:tcW w:w="6192" w:type="dxa"/>
            <w:gridSpan w:val="2"/>
            <w:vAlign w:val="center"/>
          </w:tcPr>
          <w:p w14:paraId="7061DCC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禁止在施工现场或工人宿舍进行赌博</w:t>
            </w:r>
          </w:p>
        </w:tc>
        <w:tc>
          <w:tcPr>
            <w:tcW w:w="1623" w:type="dxa"/>
            <w:vAlign w:val="center"/>
          </w:tcPr>
          <w:p w14:paraId="3027ABD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500元/人/次</w:t>
            </w:r>
          </w:p>
        </w:tc>
      </w:tr>
      <w:tr w14:paraId="2AE332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3B94A218">
            <w:pPr>
              <w:spacing w:line="4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w:t>
            </w:r>
          </w:p>
        </w:tc>
        <w:tc>
          <w:tcPr>
            <w:tcW w:w="6192" w:type="dxa"/>
            <w:gridSpan w:val="2"/>
            <w:vAlign w:val="center"/>
          </w:tcPr>
          <w:p w14:paraId="0903753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严禁擅自进入危险作业区</w:t>
            </w:r>
          </w:p>
        </w:tc>
        <w:tc>
          <w:tcPr>
            <w:tcW w:w="1623" w:type="dxa"/>
            <w:vAlign w:val="center"/>
          </w:tcPr>
          <w:p w14:paraId="65BB252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200元/人/次</w:t>
            </w:r>
          </w:p>
        </w:tc>
      </w:tr>
      <w:tr w14:paraId="68E90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60DAAEB7">
            <w:pPr>
              <w:spacing w:line="3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w:t>
            </w:r>
          </w:p>
        </w:tc>
        <w:tc>
          <w:tcPr>
            <w:tcW w:w="6192" w:type="dxa"/>
            <w:gridSpan w:val="2"/>
            <w:vAlign w:val="center"/>
          </w:tcPr>
          <w:p w14:paraId="61B9F45B">
            <w:pPr>
              <w:spacing w:line="3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在没有可安全防护设施的高处(如m及以上)临边和陡坡施工时，必须系好安全带</w:t>
            </w:r>
          </w:p>
        </w:tc>
        <w:tc>
          <w:tcPr>
            <w:tcW w:w="1623" w:type="dxa"/>
            <w:vAlign w:val="center"/>
          </w:tcPr>
          <w:p w14:paraId="58E2EE3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188183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60B566CA">
            <w:pPr>
              <w:spacing w:line="3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 xml:space="preserve"> 11</w:t>
            </w:r>
          </w:p>
        </w:tc>
        <w:tc>
          <w:tcPr>
            <w:tcW w:w="6192" w:type="dxa"/>
            <w:gridSpan w:val="2"/>
            <w:vAlign w:val="center"/>
          </w:tcPr>
          <w:p w14:paraId="349CCB57">
            <w:pPr>
              <w:spacing w:line="3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高处作业不得穿硬底和带钉易滑的鞋，不得向下投掷物料</w:t>
            </w:r>
          </w:p>
        </w:tc>
        <w:tc>
          <w:tcPr>
            <w:tcW w:w="1623" w:type="dxa"/>
            <w:vAlign w:val="center"/>
          </w:tcPr>
          <w:p w14:paraId="64AEBE4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1000元/次</w:t>
            </w:r>
          </w:p>
        </w:tc>
      </w:tr>
      <w:tr w14:paraId="53D3EC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773473A7">
            <w:pPr>
              <w:spacing w:line="3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12</w:t>
            </w:r>
          </w:p>
        </w:tc>
        <w:tc>
          <w:tcPr>
            <w:tcW w:w="6192" w:type="dxa"/>
            <w:gridSpan w:val="2"/>
            <w:vAlign w:val="center"/>
          </w:tcPr>
          <w:p w14:paraId="4BC91280">
            <w:pPr>
              <w:spacing w:line="3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使用砂轮机、火焊、高速切割，触化险品等必须戴防护镜</w:t>
            </w:r>
          </w:p>
        </w:tc>
        <w:tc>
          <w:tcPr>
            <w:tcW w:w="1623" w:type="dxa"/>
            <w:vAlign w:val="center"/>
          </w:tcPr>
          <w:p w14:paraId="135F63B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200元/人次</w:t>
            </w:r>
          </w:p>
        </w:tc>
      </w:tr>
      <w:tr w14:paraId="1A32EC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6878F81C">
            <w:pPr>
              <w:spacing w:line="3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13</w:t>
            </w:r>
          </w:p>
        </w:tc>
        <w:tc>
          <w:tcPr>
            <w:tcW w:w="6192" w:type="dxa"/>
            <w:gridSpan w:val="2"/>
            <w:vAlign w:val="center"/>
          </w:tcPr>
          <w:p w14:paraId="15204269">
            <w:pPr>
              <w:spacing w:line="3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进入施工现场严禁乱扔杂物及随意堆放物品</w:t>
            </w:r>
          </w:p>
        </w:tc>
        <w:tc>
          <w:tcPr>
            <w:tcW w:w="1623" w:type="dxa"/>
            <w:vAlign w:val="center"/>
          </w:tcPr>
          <w:p w14:paraId="65BB0ED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500元/人/次</w:t>
            </w:r>
          </w:p>
        </w:tc>
      </w:tr>
      <w:tr w14:paraId="12B7D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3758C544">
            <w:pPr>
              <w:spacing w:line="3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14</w:t>
            </w:r>
          </w:p>
        </w:tc>
        <w:tc>
          <w:tcPr>
            <w:tcW w:w="6192" w:type="dxa"/>
            <w:gridSpan w:val="2"/>
            <w:vAlign w:val="center"/>
          </w:tcPr>
          <w:p w14:paraId="174EE74D">
            <w:pPr>
              <w:spacing w:line="3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临时进入现场的我货车实行记准入制度，借安全帽佩戴</w:t>
            </w:r>
          </w:p>
        </w:tc>
        <w:tc>
          <w:tcPr>
            <w:tcW w:w="1623" w:type="dxa"/>
            <w:vAlign w:val="center"/>
          </w:tcPr>
          <w:p w14:paraId="3967F0F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200元/人/次</w:t>
            </w:r>
          </w:p>
        </w:tc>
      </w:tr>
      <w:tr w14:paraId="7C6A93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vAlign w:val="center"/>
          </w:tcPr>
          <w:p w14:paraId="242EE973">
            <w:pPr>
              <w:spacing w:line="3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15</w:t>
            </w:r>
          </w:p>
        </w:tc>
        <w:tc>
          <w:tcPr>
            <w:tcW w:w="6192" w:type="dxa"/>
            <w:gridSpan w:val="2"/>
            <w:vAlign w:val="center"/>
          </w:tcPr>
          <w:p w14:paraId="3E504AF3">
            <w:pPr>
              <w:spacing w:line="3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进场车辆必须清洁卫生，盛装散落物要有防散落措施，</w:t>
            </w:r>
          </w:p>
          <w:p w14:paraId="2126961F">
            <w:pPr>
              <w:spacing w:line="3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不得影响道路清洁</w:t>
            </w:r>
          </w:p>
        </w:tc>
        <w:tc>
          <w:tcPr>
            <w:tcW w:w="1623" w:type="dxa"/>
            <w:vAlign w:val="center"/>
          </w:tcPr>
          <w:p w14:paraId="180EF5A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100元/次</w:t>
            </w:r>
          </w:p>
        </w:tc>
      </w:tr>
      <w:tr w14:paraId="58808F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tcBorders>
              <w:bottom w:val="nil"/>
            </w:tcBorders>
            <w:vAlign w:val="center"/>
          </w:tcPr>
          <w:p w14:paraId="22115526">
            <w:pPr>
              <w:spacing w:line="3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16</w:t>
            </w:r>
          </w:p>
        </w:tc>
        <w:tc>
          <w:tcPr>
            <w:tcW w:w="6192" w:type="dxa"/>
            <w:gridSpan w:val="2"/>
            <w:tcBorders>
              <w:bottom w:val="nil"/>
            </w:tcBorders>
            <w:vAlign w:val="center"/>
          </w:tcPr>
          <w:p w14:paraId="6C504790">
            <w:pPr>
              <w:spacing w:line="3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现场机动车辆应保证车况完好，防止飞扬尘土和碎石伤人</w:t>
            </w:r>
          </w:p>
        </w:tc>
        <w:tc>
          <w:tcPr>
            <w:tcW w:w="1623" w:type="dxa"/>
            <w:vAlign w:val="center"/>
          </w:tcPr>
          <w:p w14:paraId="45077DD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100元/次</w:t>
            </w:r>
          </w:p>
        </w:tc>
      </w:tr>
      <w:tr w14:paraId="66B7F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7" w:type="dxa"/>
            <w:tcBorders>
              <w:top w:val="nil"/>
            </w:tcBorders>
            <w:vAlign w:val="center"/>
          </w:tcPr>
          <w:p w14:paraId="0B9A08D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17</w:t>
            </w:r>
          </w:p>
        </w:tc>
        <w:tc>
          <w:tcPr>
            <w:tcW w:w="6192" w:type="dxa"/>
            <w:gridSpan w:val="2"/>
            <w:tcBorders>
              <w:top w:val="nil"/>
            </w:tcBorders>
            <w:vAlign w:val="center"/>
          </w:tcPr>
          <w:p w14:paraId="09933B5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砼运输应采用罐车或有后箱板运输车，严禁敞车运输，避免砼运输带来环境污染</w:t>
            </w:r>
          </w:p>
        </w:tc>
        <w:tc>
          <w:tcPr>
            <w:tcW w:w="1623" w:type="dxa"/>
            <w:vAlign w:val="center"/>
          </w:tcPr>
          <w:p w14:paraId="48DC2B8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100元/次</w:t>
            </w:r>
          </w:p>
        </w:tc>
      </w:tr>
    </w:tbl>
    <w:p w14:paraId="3E40381C">
      <w:pPr>
        <w:spacing w:line="560" w:lineRule="exact"/>
        <w:rPr>
          <w:rFonts w:ascii="仿宋" w:hAnsi="仿宋" w:eastAsia="仿宋" w:cs="宋体"/>
          <w:color w:val="auto"/>
          <w:szCs w:val="21"/>
          <w:highlight w:val="none"/>
        </w:rPr>
      </w:pPr>
      <w:r>
        <w:rPr>
          <w:rFonts w:ascii="仿宋" w:hAnsi="仿宋" w:eastAsia="仿宋" w:cs="宋体"/>
          <w:bCs/>
          <w:color w:val="auto"/>
          <w:szCs w:val="21"/>
          <w:highlight w:val="none"/>
        </w:rPr>
        <w:t>2</w:t>
      </w:r>
      <w:r>
        <w:rPr>
          <w:rFonts w:hint="eastAsia" w:ascii="仿宋" w:hAnsi="仿宋" w:eastAsia="仿宋" w:cs="宋体"/>
          <w:bCs/>
          <w:color w:val="auto"/>
          <w:szCs w:val="21"/>
          <w:highlight w:val="none"/>
        </w:rPr>
        <w:t>、</w:t>
      </w:r>
      <w:r>
        <w:rPr>
          <w:rFonts w:hint="eastAsia" w:ascii="仿宋" w:hAnsi="仿宋" w:eastAsia="仿宋" w:cs="宋体"/>
          <w:color w:val="auto"/>
          <w:szCs w:val="21"/>
          <w:highlight w:val="none"/>
        </w:rPr>
        <w:t>施工现场安全措施</w:t>
      </w:r>
    </w:p>
    <w:tbl>
      <w:tblPr>
        <w:tblStyle w:val="38"/>
        <w:tblW w:w="85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626"/>
        <w:gridCol w:w="4611"/>
        <w:gridCol w:w="1560"/>
      </w:tblGrid>
      <w:tr w14:paraId="19503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709" w:type="dxa"/>
            <w:vAlign w:val="center"/>
          </w:tcPr>
          <w:p w14:paraId="6C49D848">
            <w:pPr>
              <w:spacing w:line="400" w:lineRule="exact"/>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序号</w:t>
            </w:r>
          </w:p>
        </w:tc>
        <w:tc>
          <w:tcPr>
            <w:tcW w:w="1626" w:type="dxa"/>
            <w:vAlign w:val="center"/>
          </w:tcPr>
          <w:p w14:paraId="05D7340F">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项目</w:t>
            </w:r>
          </w:p>
        </w:tc>
        <w:tc>
          <w:tcPr>
            <w:tcW w:w="4611" w:type="dxa"/>
            <w:vAlign w:val="center"/>
          </w:tcPr>
          <w:p w14:paraId="6C5D5890">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检查标准</w:t>
            </w:r>
          </w:p>
        </w:tc>
        <w:tc>
          <w:tcPr>
            <w:tcW w:w="1560" w:type="dxa"/>
            <w:vAlign w:val="center"/>
          </w:tcPr>
          <w:p w14:paraId="346FAD72">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lang w:val="en-US" w:eastAsia="zh-CN"/>
              </w:rPr>
              <w:t>违约金</w:t>
            </w:r>
            <w:r>
              <w:rPr>
                <w:rFonts w:hint="eastAsia" w:ascii="仿宋" w:hAnsi="仿宋" w:eastAsia="仿宋" w:cs="宋体"/>
                <w:b/>
                <w:color w:val="auto"/>
                <w:kern w:val="0"/>
                <w:sz w:val="20"/>
                <w:szCs w:val="21"/>
                <w:highlight w:val="none"/>
              </w:rPr>
              <w:t>标准</w:t>
            </w:r>
          </w:p>
        </w:tc>
      </w:tr>
      <w:tr w14:paraId="7EDC7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7E485D6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悬挑式脚手架</w:t>
            </w:r>
          </w:p>
        </w:tc>
      </w:tr>
      <w:tr w14:paraId="6B902E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26E17C8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18</w:t>
            </w:r>
          </w:p>
        </w:tc>
        <w:tc>
          <w:tcPr>
            <w:tcW w:w="1626" w:type="dxa"/>
            <w:vMerge w:val="restart"/>
            <w:vAlign w:val="center"/>
          </w:tcPr>
          <w:p w14:paraId="20CEA1A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施工方案</w:t>
            </w:r>
          </w:p>
        </w:tc>
        <w:tc>
          <w:tcPr>
            <w:tcW w:w="4611" w:type="dxa"/>
            <w:vAlign w:val="center"/>
          </w:tcPr>
          <w:p w14:paraId="5037FFA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未编制专项施工方案或未进行设计计算</w:t>
            </w:r>
          </w:p>
        </w:tc>
        <w:tc>
          <w:tcPr>
            <w:tcW w:w="1560" w:type="dxa"/>
            <w:vAlign w:val="center"/>
          </w:tcPr>
          <w:p w14:paraId="5271521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601EC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519AEA3">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D6A6041">
            <w:pPr>
              <w:spacing w:line="400" w:lineRule="exact"/>
              <w:jc w:val="center"/>
              <w:rPr>
                <w:rFonts w:ascii="仿宋" w:hAnsi="仿宋" w:eastAsia="仿宋" w:cs="宋体"/>
                <w:color w:val="auto"/>
                <w:kern w:val="0"/>
                <w:sz w:val="20"/>
                <w:szCs w:val="21"/>
                <w:highlight w:val="none"/>
              </w:rPr>
            </w:pPr>
          </w:p>
        </w:tc>
        <w:tc>
          <w:tcPr>
            <w:tcW w:w="4611" w:type="dxa"/>
            <w:vAlign w:val="center"/>
          </w:tcPr>
          <w:p w14:paraId="256F499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专项施工方案未按规定审核、审批</w:t>
            </w:r>
          </w:p>
        </w:tc>
        <w:tc>
          <w:tcPr>
            <w:tcW w:w="1560" w:type="dxa"/>
            <w:vAlign w:val="center"/>
          </w:tcPr>
          <w:p w14:paraId="26DFE50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0D81FF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FFDC190">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2B0D965">
            <w:pPr>
              <w:spacing w:line="400" w:lineRule="exact"/>
              <w:jc w:val="center"/>
              <w:rPr>
                <w:rFonts w:ascii="仿宋" w:hAnsi="仿宋" w:eastAsia="仿宋" w:cs="宋体"/>
                <w:color w:val="auto"/>
                <w:kern w:val="0"/>
                <w:sz w:val="20"/>
                <w:szCs w:val="21"/>
                <w:highlight w:val="none"/>
              </w:rPr>
            </w:pPr>
          </w:p>
        </w:tc>
        <w:tc>
          <w:tcPr>
            <w:tcW w:w="4611" w:type="dxa"/>
            <w:vAlign w:val="center"/>
          </w:tcPr>
          <w:p w14:paraId="4321175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架体搭设超过规范允许高度，专项施工方案未按规定组织专家论证</w:t>
            </w:r>
          </w:p>
        </w:tc>
        <w:tc>
          <w:tcPr>
            <w:tcW w:w="1560" w:type="dxa"/>
            <w:vAlign w:val="center"/>
          </w:tcPr>
          <w:p w14:paraId="55CED2C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489623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615DF14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19</w:t>
            </w:r>
          </w:p>
        </w:tc>
        <w:tc>
          <w:tcPr>
            <w:tcW w:w="1626" w:type="dxa"/>
            <w:vMerge w:val="restart"/>
            <w:vAlign w:val="center"/>
          </w:tcPr>
          <w:p w14:paraId="7106DBC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悬挑钢梁</w:t>
            </w:r>
          </w:p>
        </w:tc>
        <w:tc>
          <w:tcPr>
            <w:tcW w:w="4611" w:type="dxa"/>
            <w:vAlign w:val="center"/>
          </w:tcPr>
          <w:p w14:paraId="0AAA6CC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钢梁截面高度未按设计确定或截面形式不合设计和规范要求</w:t>
            </w:r>
          </w:p>
        </w:tc>
        <w:tc>
          <w:tcPr>
            <w:tcW w:w="1560" w:type="dxa"/>
            <w:vAlign w:val="center"/>
          </w:tcPr>
          <w:p w14:paraId="0447CC2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73F646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A9A1F49">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17E231D">
            <w:pPr>
              <w:spacing w:line="400" w:lineRule="exact"/>
              <w:jc w:val="center"/>
              <w:rPr>
                <w:rFonts w:ascii="仿宋" w:hAnsi="仿宋" w:eastAsia="仿宋" w:cs="宋体"/>
                <w:color w:val="auto"/>
                <w:kern w:val="0"/>
                <w:sz w:val="20"/>
                <w:szCs w:val="21"/>
                <w:highlight w:val="none"/>
              </w:rPr>
            </w:pPr>
          </w:p>
        </w:tc>
        <w:tc>
          <w:tcPr>
            <w:tcW w:w="4611" w:type="dxa"/>
            <w:vAlign w:val="center"/>
          </w:tcPr>
          <w:p w14:paraId="294E5B8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钢梁固定段长度小于悬挑段长度的1.25倍</w:t>
            </w:r>
          </w:p>
        </w:tc>
        <w:tc>
          <w:tcPr>
            <w:tcW w:w="1560" w:type="dxa"/>
            <w:vAlign w:val="center"/>
          </w:tcPr>
          <w:p w14:paraId="67F9667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E0F08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02E0C5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3B52EDD">
            <w:pPr>
              <w:spacing w:line="400" w:lineRule="exact"/>
              <w:jc w:val="center"/>
              <w:rPr>
                <w:rFonts w:ascii="仿宋" w:hAnsi="仿宋" w:eastAsia="仿宋" w:cs="宋体"/>
                <w:color w:val="auto"/>
                <w:kern w:val="0"/>
                <w:sz w:val="20"/>
                <w:szCs w:val="21"/>
                <w:highlight w:val="none"/>
              </w:rPr>
            </w:pPr>
          </w:p>
        </w:tc>
        <w:tc>
          <w:tcPr>
            <w:tcW w:w="4611" w:type="dxa"/>
            <w:vAlign w:val="center"/>
          </w:tcPr>
          <w:p w14:paraId="03CF3ED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钢梁外端未设置钢丝绳或钢拉杆与上一层建筑结构拉结</w:t>
            </w:r>
          </w:p>
        </w:tc>
        <w:tc>
          <w:tcPr>
            <w:tcW w:w="1560" w:type="dxa"/>
            <w:vAlign w:val="center"/>
          </w:tcPr>
          <w:p w14:paraId="2B498D9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6C079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07E9F39">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8D63A95">
            <w:pPr>
              <w:spacing w:line="400" w:lineRule="exact"/>
              <w:jc w:val="center"/>
              <w:rPr>
                <w:rFonts w:ascii="仿宋" w:hAnsi="仿宋" w:eastAsia="仿宋" w:cs="宋体"/>
                <w:color w:val="auto"/>
                <w:kern w:val="0"/>
                <w:sz w:val="20"/>
                <w:szCs w:val="21"/>
                <w:highlight w:val="none"/>
              </w:rPr>
            </w:pPr>
          </w:p>
        </w:tc>
        <w:tc>
          <w:tcPr>
            <w:tcW w:w="4611" w:type="dxa"/>
            <w:vAlign w:val="center"/>
          </w:tcPr>
          <w:p w14:paraId="0F2E170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钢梁与建筑结构错固处结构强度、锚固措施不符合设计和规范要求</w:t>
            </w:r>
          </w:p>
        </w:tc>
        <w:tc>
          <w:tcPr>
            <w:tcW w:w="1560" w:type="dxa"/>
            <w:vAlign w:val="center"/>
          </w:tcPr>
          <w:p w14:paraId="2FEC117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22A12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2D87119">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473C2BF">
            <w:pPr>
              <w:spacing w:line="400" w:lineRule="exact"/>
              <w:jc w:val="center"/>
              <w:rPr>
                <w:rFonts w:ascii="仿宋" w:hAnsi="仿宋" w:eastAsia="仿宋" w:cs="宋体"/>
                <w:color w:val="auto"/>
                <w:kern w:val="0"/>
                <w:sz w:val="20"/>
                <w:szCs w:val="21"/>
                <w:highlight w:val="none"/>
              </w:rPr>
            </w:pPr>
          </w:p>
        </w:tc>
        <w:tc>
          <w:tcPr>
            <w:tcW w:w="4611" w:type="dxa"/>
            <w:vAlign w:val="center"/>
          </w:tcPr>
          <w:p w14:paraId="3A5A8D3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钢梁间距未按悬挑架体立杆纵距设置</w:t>
            </w:r>
          </w:p>
        </w:tc>
        <w:tc>
          <w:tcPr>
            <w:tcW w:w="1560" w:type="dxa"/>
            <w:vAlign w:val="center"/>
          </w:tcPr>
          <w:p w14:paraId="62C3B09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7581E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253A4BC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w:t>
            </w:r>
          </w:p>
        </w:tc>
        <w:tc>
          <w:tcPr>
            <w:tcW w:w="1626" w:type="dxa"/>
            <w:vMerge w:val="restart"/>
            <w:vAlign w:val="center"/>
          </w:tcPr>
          <w:p w14:paraId="3D5A2FE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架体稳定</w:t>
            </w:r>
          </w:p>
        </w:tc>
        <w:tc>
          <w:tcPr>
            <w:tcW w:w="4611" w:type="dxa"/>
            <w:vAlign w:val="center"/>
          </w:tcPr>
          <w:p w14:paraId="2EDF1AC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立杆底部与悬挑钢梁连接处未采取可靠固定措施</w:t>
            </w:r>
          </w:p>
        </w:tc>
        <w:tc>
          <w:tcPr>
            <w:tcW w:w="1560" w:type="dxa"/>
            <w:vAlign w:val="center"/>
          </w:tcPr>
          <w:p w14:paraId="44749E7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29E2C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A02C3B2">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EC57511">
            <w:pPr>
              <w:spacing w:line="400" w:lineRule="exact"/>
              <w:jc w:val="center"/>
              <w:rPr>
                <w:rFonts w:ascii="仿宋" w:hAnsi="仿宋" w:eastAsia="仿宋" w:cs="宋体"/>
                <w:color w:val="auto"/>
                <w:kern w:val="0"/>
                <w:sz w:val="20"/>
                <w:szCs w:val="21"/>
                <w:highlight w:val="none"/>
              </w:rPr>
            </w:pPr>
          </w:p>
        </w:tc>
        <w:tc>
          <w:tcPr>
            <w:tcW w:w="4611" w:type="dxa"/>
            <w:vAlign w:val="center"/>
          </w:tcPr>
          <w:p w14:paraId="1B5DBD5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承插式立杆接长未采取螺栓或销钉固定</w:t>
            </w:r>
          </w:p>
        </w:tc>
        <w:tc>
          <w:tcPr>
            <w:tcW w:w="1560" w:type="dxa"/>
            <w:vAlign w:val="center"/>
          </w:tcPr>
          <w:p w14:paraId="46B076D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36CFF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2924351">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63C55AB">
            <w:pPr>
              <w:spacing w:line="400" w:lineRule="exact"/>
              <w:jc w:val="center"/>
              <w:rPr>
                <w:rFonts w:ascii="仿宋" w:hAnsi="仿宋" w:eastAsia="仿宋" w:cs="宋体"/>
                <w:color w:val="auto"/>
                <w:kern w:val="0"/>
                <w:sz w:val="20"/>
                <w:szCs w:val="21"/>
                <w:highlight w:val="none"/>
              </w:rPr>
            </w:pPr>
          </w:p>
        </w:tc>
        <w:tc>
          <w:tcPr>
            <w:tcW w:w="4611" w:type="dxa"/>
            <w:vAlign w:val="center"/>
          </w:tcPr>
          <w:p w14:paraId="4140B9B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纵横向扫地杆的设置不符合规范要求</w:t>
            </w:r>
          </w:p>
        </w:tc>
        <w:tc>
          <w:tcPr>
            <w:tcW w:w="1560" w:type="dxa"/>
            <w:vAlign w:val="center"/>
          </w:tcPr>
          <w:p w14:paraId="458E5AC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65844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B66C6B0">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4547FDA">
            <w:pPr>
              <w:spacing w:line="400" w:lineRule="exact"/>
              <w:jc w:val="center"/>
              <w:rPr>
                <w:rFonts w:ascii="仿宋" w:hAnsi="仿宋" w:eastAsia="仿宋" w:cs="宋体"/>
                <w:color w:val="auto"/>
                <w:kern w:val="0"/>
                <w:sz w:val="20"/>
                <w:szCs w:val="21"/>
                <w:highlight w:val="none"/>
              </w:rPr>
            </w:pPr>
          </w:p>
        </w:tc>
        <w:tc>
          <w:tcPr>
            <w:tcW w:w="4611" w:type="dxa"/>
            <w:vAlign w:val="center"/>
          </w:tcPr>
          <w:p w14:paraId="3B34F75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未在架体外侧设置连续式剪刀撑</w:t>
            </w:r>
          </w:p>
        </w:tc>
        <w:tc>
          <w:tcPr>
            <w:tcW w:w="1560" w:type="dxa"/>
            <w:vAlign w:val="center"/>
          </w:tcPr>
          <w:p w14:paraId="6A2C334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B802F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D9C5CB7">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3C84105">
            <w:pPr>
              <w:spacing w:line="400" w:lineRule="exact"/>
              <w:jc w:val="center"/>
              <w:rPr>
                <w:rFonts w:ascii="仿宋" w:hAnsi="仿宋" w:eastAsia="仿宋" w:cs="宋体"/>
                <w:color w:val="auto"/>
                <w:kern w:val="0"/>
                <w:sz w:val="20"/>
                <w:szCs w:val="21"/>
                <w:highlight w:val="none"/>
              </w:rPr>
            </w:pPr>
          </w:p>
        </w:tc>
        <w:tc>
          <w:tcPr>
            <w:tcW w:w="4611" w:type="dxa"/>
            <w:vAlign w:val="center"/>
          </w:tcPr>
          <w:p w14:paraId="6FD6DB1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未按规定设置横向斜撑</w:t>
            </w:r>
          </w:p>
        </w:tc>
        <w:tc>
          <w:tcPr>
            <w:tcW w:w="1560" w:type="dxa"/>
            <w:vAlign w:val="center"/>
          </w:tcPr>
          <w:p w14:paraId="411A240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051C17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48ECBF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BA3E31B">
            <w:pPr>
              <w:spacing w:line="400" w:lineRule="exact"/>
              <w:jc w:val="center"/>
              <w:rPr>
                <w:rFonts w:ascii="仿宋" w:hAnsi="仿宋" w:eastAsia="仿宋" w:cs="宋体"/>
                <w:color w:val="auto"/>
                <w:kern w:val="0"/>
                <w:sz w:val="20"/>
                <w:szCs w:val="21"/>
                <w:highlight w:val="none"/>
              </w:rPr>
            </w:pPr>
          </w:p>
        </w:tc>
        <w:tc>
          <w:tcPr>
            <w:tcW w:w="4611" w:type="dxa"/>
            <w:vAlign w:val="center"/>
          </w:tcPr>
          <w:p w14:paraId="663FFDA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架体未按规定与建筑结构拉节</w:t>
            </w:r>
          </w:p>
        </w:tc>
        <w:tc>
          <w:tcPr>
            <w:tcW w:w="1560" w:type="dxa"/>
            <w:vAlign w:val="center"/>
          </w:tcPr>
          <w:p w14:paraId="229EC76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71E310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1227761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21</w:t>
            </w:r>
          </w:p>
        </w:tc>
        <w:tc>
          <w:tcPr>
            <w:tcW w:w="1626" w:type="dxa"/>
            <w:vAlign w:val="center"/>
          </w:tcPr>
          <w:p w14:paraId="4A7DEEE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脚手板</w:t>
            </w:r>
          </w:p>
        </w:tc>
        <w:tc>
          <w:tcPr>
            <w:tcW w:w="4611" w:type="dxa"/>
            <w:vAlign w:val="center"/>
          </w:tcPr>
          <w:p w14:paraId="6143785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脚手板脚手板未满铺或铺设不严、不牢、不稳</w:t>
            </w:r>
          </w:p>
        </w:tc>
        <w:tc>
          <w:tcPr>
            <w:tcW w:w="1560" w:type="dxa"/>
            <w:vAlign w:val="center"/>
          </w:tcPr>
          <w:p w14:paraId="73D015C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1F7A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5A79BD9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22</w:t>
            </w:r>
          </w:p>
        </w:tc>
        <w:tc>
          <w:tcPr>
            <w:tcW w:w="1626" w:type="dxa"/>
            <w:vMerge w:val="restart"/>
            <w:vAlign w:val="center"/>
          </w:tcPr>
          <w:p w14:paraId="77AF820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荷载</w:t>
            </w:r>
          </w:p>
        </w:tc>
        <w:tc>
          <w:tcPr>
            <w:tcW w:w="4611" w:type="dxa"/>
            <w:vAlign w:val="center"/>
          </w:tcPr>
          <w:p w14:paraId="33B494E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脚手架荷载超过设计规定</w:t>
            </w:r>
          </w:p>
        </w:tc>
        <w:tc>
          <w:tcPr>
            <w:tcW w:w="1560" w:type="dxa"/>
            <w:vAlign w:val="center"/>
          </w:tcPr>
          <w:p w14:paraId="58F80C6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20F52D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EABB1D4">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1300096">
            <w:pPr>
              <w:spacing w:line="400" w:lineRule="exact"/>
              <w:jc w:val="center"/>
              <w:rPr>
                <w:rFonts w:ascii="仿宋" w:hAnsi="仿宋" w:eastAsia="仿宋" w:cs="宋体"/>
                <w:color w:val="auto"/>
                <w:kern w:val="0"/>
                <w:sz w:val="20"/>
                <w:szCs w:val="21"/>
                <w:highlight w:val="none"/>
              </w:rPr>
            </w:pPr>
          </w:p>
        </w:tc>
        <w:tc>
          <w:tcPr>
            <w:tcW w:w="4611" w:type="dxa"/>
            <w:vAlign w:val="center"/>
          </w:tcPr>
          <w:p w14:paraId="32ED489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施工荷载堆放不均匀的</w:t>
            </w:r>
          </w:p>
        </w:tc>
        <w:tc>
          <w:tcPr>
            <w:tcW w:w="1560" w:type="dxa"/>
            <w:vAlign w:val="center"/>
          </w:tcPr>
          <w:p w14:paraId="556D0C9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3F67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30A8235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23</w:t>
            </w:r>
          </w:p>
        </w:tc>
        <w:tc>
          <w:tcPr>
            <w:tcW w:w="1626" w:type="dxa"/>
            <w:vMerge w:val="restart"/>
            <w:vAlign w:val="center"/>
          </w:tcPr>
          <w:p w14:paraId="1E4E8EE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较低与验收</w:t>
            </w:r>
          </w:p>
        </w:tc>
        <w:tc>
          <w:tcPr>
            <w:tcW w:w="4611" w:type="dxa"/>
            <w:vAlign w:val="center"/>
          </w:tcPr>
          <w:p w14:paraId="764CAEF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交底与验架体搭设前未进行交底或交底未有文字记录</w:t>
            </w:r>
          </w:p>
        </w:tc>
        <w:tc>
          <w:tcPr>
            <w:tcW w:w="1560" w:type="dxa"/>
            <w:vAlign w:val="center"/>
          </w:tcPr>
          <w:p w14:paraId="6249E19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2CC00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909D914">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F931646">
            <w:pPr>
              <w:spacing w:line="400" w:lineRule="exact"/>
              <w:jc w:val="center"/>
              <w:rPr>
                <w:rFonts w:ascii="仿宋" w:hAnsi="仿宋" w:eastAsia="仿宋" w:cs="宋体"/>
                <w:color w:val="auto"/>
                <w:kern w:val="0"/>
                <w:sz w:val="20"/>
                <w:szCs w:val="21"/>
                <w:highlight w:val="none"/>
              </w:rPr>
            </w:pPr>
          </w:p>
        </w:tc>
        <w:tc>
          <w:tcPr>
            <w:tcW w:w="4611" w:type="dxa"/>
            <w:vAlign w:val="center"/>
          </w:tcPr>
          <w:p w14:paraId="2780F4B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架体分段搭设、分段使用未进行分段验收</w:t>
            </w:r>
          </w:p>
          <w:p w14:paraId="41E7091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架体搭设完毕未办理验收手续</w:t>
            </w:r>
          </w:p>
        </w:tc>
        <w:tc>
          <w:tcPr>
            <w:tcW w:w="1560" w:type="dxa"/>
            <w:vAlign w:val="center"/>
          </w:tcPr>
          <w:p w14:paraId="7F6A2F4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p w14:paraId="4A7B174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F410E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4FB1624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落地式外脚手架</w:t>
            </w:r>
          </w:p>
        </w:tc>
      </w:tr>
      <w:tr w14:paraId="21E89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0121351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24</w:t>
            </w:r>
          </w:p>
        </w:tc>
        <w:tc>
          <w:tcPr>
            <w:tcW w:w="1626" w:type="dxa"/>
            <w:vMerge w:val="restart"/>
            <w:vAlign w:val="center"/>
          </w:tcPr>
          <w:p w14:paraId="66A6A46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施工方案脚</w:t>
            </w:r>
          </w:p>
        </w:tc>
        <w:tc>
          <w:tcPr>
            <w:tcW w:w="4611" w:type="dxa"/>
            <w:vAlign w:val="center"/>
          </w:tcPr>
          <w:p w14:paraId="252DC0C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脚手架无施工方案的</w:t>
            </w:r>
          </w:p>
        </w:tc>
        <w:tc>
          <w:tcPr>
            <w:tcW w:w="1560" w:type="dxa"/>
            <w:vAlign w:val="center"/>
          </w:tcPr>
          <w:p w14:paraId="4BD5CFA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09E8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A614B74">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E10D160">
            <w:pPr>
              <w:spacing w:line="400" w:lineRule="exact"/>
              <w:jc w:val="center"/>
              <w:rPr>
                <w:rFonts w:ascii="仿宋" w:hAnsi="仿宋" w:eastAsia="仿宋" w:cs="宋体"/>
                <w:color w:val="auto"/>
                <w:kern w:val="0"/>
                <w:sz w:val="20"/>
                <w:szCs w:val="21"/>
                <w:highlight w:val="none"/>
              </w:rPr>
            </w:pPr>
          </w:p>
        </w:tc>
        <w:tc>
          <w:tcPr>
            <w:tcW w:w="4611" w:type="dxa"/>
            <w:vAlign w:val="center"/>
          </w:tcPr>
          <w:p w14:paraId="4B5F8B0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脚手架高度超过规范规定无设计计算书或未经审批的</w:t>
            </w:r>
          </w:p>
        </w:tc>
        <w:tc>
          <w:tcPr>
            <w:tcW w:w="1560" w:type="dxa"/>
            <w:vAlign w:val="center"/>
          </w:tcPr>
          <w:p w14:paraId="48E5E83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6C7BA1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1CCCE4A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25</w:t>
            </w:r>
          </w:p>
        </w:tc>
        <w:tc>
          <w:tcPr>
            <w:tcW w:w="1626" w:type="dxa"/>
            <w:vMerge w:val="restart"/>
            <w:vAlign w:val="center"/>
          </w:tcPr>
          <w:p w14:paraId="0D10C7B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立杆基础</w:t>
            </w:r>
          </w:p>
        </w:tc>
        <w:tc>
          <w:tcPr>
            <w:tcW w:w="4611" w:type="dxa"/>
            <w:vAlign w:val="center"/>
          </w:tcPr>
          <w:p w14:paraId="2800459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每10延长米立杆基础不平、不实、不符合方案设计要求的</w:t>
            </w:r>
          </w:p>
        </w:tc>
        <w:tc>
          <w:tcPr>
            <w:tcW w:w="1560" w:type="dxa"/>
            <w:vAlign w:val="center"/>
          </w:tcPr>
          <w:p w14:paraId="39B252C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1BF9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F673711">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460C6BF">
            <w:pPr>
              <w:spacing w:line="400" w:lineRule="exact"/>
              <w:jc w:val="center"/>
              <w:rPr>
                <w:rFonts w:ascii="仿宋" w:hAnsi="仿宋" w:eastAsia="仿宋" w:cs="宋体"/>
                <w:color w:val="auto"/>
                <w:kern w:val="0"/>
                <w:sz w:val="20"/>
                <w:szCs w:val="21"/>
                <w:highlight w:val="none"/>
              </w:rPr>
            </w:pPr>
          </w:p>
        </w:tc>
        <w:tc>
          <w:tcPr>
            <w:tcW w:w="4611" w:type="dxa"/>
            <w:vAlign w:val="center"/>
          </w:tcPr>
          <w:p w14:paraId="7C697F9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每10延长米立杆缺少底座，垫木的</w:t>
            </w:r>
          </w:p>
        </w:tc>
        <w:tc>
          <w:tcPr>
            <w:tcW w:w="1560" w:type="dxa"/>
            <w:vAlign w:val="center"/>
          </w:tcPr>
          <w:p w14:paraId="46771B4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338CD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9CDE414">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45483CA">
            <w:pPr>
              <w:spacing w:line="400" w:lineRule="exact"/>
              <w:jc w:val="center"/>
              <w:rPr>
                <w:rFonts w:ascii="仿宋" w:hAnsi="仿宋" w:eastAsia="仿宋" w:cs="宋体"/>
                <w:color w:val="auto"/>
                <w:kern w:val="0"/>
                <w:sz w:val="20"/>
                <w:szCs w:val="21"/>
                <w:highlight w:val="none"/>
              </w:rPr>
            </w:pPr>
          </w:p>
        </w:tc>
        <w:tc>
          <w:tcPr>
            <w:tcW w:w="4611" w:type="dxa"/>
            <w:vAlign w:val="center"/>
          </w:tcPr>
          <w:p w14:paraId="59BF5CC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每10延长米无扫地杆的</w:t>
            </w:r>
          </w:p>
        </w:tc>
        <w:tc>
          <w:tcPr>
            <w:tcW w:w="1560" w:type="dxa"/>
            <w:vAlign w:val="center"/>
          </w:tcPr>
          <w:p w14:paraId="7EA0578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1303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177F7EB">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835354F">
            <w:pPr>
              <w:spacing w:line="400" w:lineRule="exact"/>
              <w:jc w:val="center"/>
              <w:rPr>
                <w:rFonts w:ascii="仿宋" w:hAnsi="仿宋" w:eastAsia="仿宋" w:cs="宋体"/>
                <w:color w:val="auto"/>
                <w:kern w:val="0"/>
                <w:sz w:val="20"/>
                <w:szCs w:val="21"/>
                <w:highlight w:val="none"/>
              </w:rPr>
            </w:pPr>
          </w:p>
        </w:tc>
        <w:tc>
          <w:tcPr>
            <w:tcW w:w="4611" w:type="dxa"/>
            <w:vAlign w:val="center"/>
          </w:tcPr>
          <w:p w14:paraId="01723F7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10延长米木脚手架立杆不埋地或无扫地杆的</w:t>
            </w:r>
          </w:p>
        </w:tc>
        <w:tc>
          <w:tcPr>
            <w:tcW w:w="1560" w:type="dxa"/>
            <w:vAlign w:val="center"/>
          </w:tcPr>
          <w:p w14:paraId="006E9E0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6873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8BBE05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895DDCE">
            <w:pPr>
              <w:spacing w:line="400" w:lineRule="exact"/>
              <w:jc w:val="center"/>
              <w:rPr>
                <w:rFonts w:ascii="仿宋" w:hAnsi="仿宋" w:eastAsia="仿宋" w:cs="宋体"/>
                <w:color w:val="auto"/>
                <w:kern w:val="0"/>
                <w:sz w:val="20"/>
                <w:szCs w:val="21"/>
                <w:highlight w:val="none"/>
              </w:rPr>
            </w:pPr>
          </w:p>
        </w:tc>
        <w:tc>
          <w:tcPr>
            <w:tcW w:w="4611" w:type="dxa"/>
            <w:vAlign w:val="center"/>
          </w:tcPr>
          <w:p w14:paraId="442E8D4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每10延长米无排水措施的</w:t>
            </w:r>
          </w:p>
        </w:tc>
        <w:tc>
          <w:tcPr>
            <w:tcW w:w="1560" w:type="dxa"/>
            <w:vAlign w:val="center"/>
          </w:tcPr>
          <w:p w14:paraId="572DC75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FB20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4BE771A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26</w:t>
            </w:r>
          </w:p>
        </w:tc>
        <w:tc>
          <w:tcPr>
            <w:tcW w:w="1626" w:type="dxa"/>
            <w:vMerge w:val="restart"/>
            <w:vAlign w:val="center"/>
          </w:tcPr>
          <w:p w14:paraId="7C95A7F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架体与建筑结构拉结</w:t>
            </w:r>
          </w:p>
        </w:tc>
        <w:tc>
          <w:tcPr>
            <w:tcW w:w="4611" w:type="dxa"/>
            <w:vAlign w:val="center"/>
          </w:tcPr>
          <w:p w14:paraId="04CE901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脚手架高度在7m以上，架体与建构拉结，按规定要求每少一处的</w:t>
            </w:r>
          </w:p>
        </w:tc>
        <w:tc>
          <w:tcPr>
            <w:tcW w:w="1560" w:type="dxa"/>
            <w:vAlign w:val="center"/>
          </w:tcPr>
          <w:p w14:paraId="340C60F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155BC2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709" w:type="dxa"/>
            <w:vMerge w:val="continue"/>
            <w:vAlign w:val="center"/>
          </w:tcPr>
          <w:p w14:paraId="59EBA057">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22A3F00">
            <w:pPr>
              <w:spacing w:line="400" w:lineRule="exact"/>
              <w:jc w:val="center"/>
              <w:rPr>
                <w:rFonts w:ascii="仿宋" w:hAnsi="仿宋" w:eastAsia="仿宋" w:cs="宋体"/>
                <w:color w:val="auto"/>
                <w:kern w:val="0"/>
                <w:sz w:val="20"/>
                <w:szCs w:val="21"/>
                <w:highlight w:val="none"/>
              </w:rPr>
            </w:pPr>
          </w:p>
        </w:tc>
        <w:tc>
          <w:tcPr>
            <w:tcW w:w="4611" w:type="dxa"/>
            <w:vAlign w:val="center"/>
          </w:tcPr>
          <w:p w14:paraId="7656A10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拉结不坚固的</w:t>
            </w:r>
          </w:p>
        </w:tc>
        <w:tc>
          <w:tcPr>
            <w:tcW w:w="1560" w:type="dxa"/>
            <w:vAlign w:val="center"/>
          </w:tcPr>
          <w:p w14:paraId="4AE9A9EB">
            <w:pPr>
              <w:spacing w:line="400" w:lineRule="exact"/>
              <w:rPr>
                <w:rFonts w:ascii="仿宋" w:hAnsi="仿宋" w:eastAsia="仿宋"/>
                <w:color w:val="auto"/>
                <w:kern w:val="0"/>
                <w:sz w:val="20"/>
                <w:szCs w:val="20"/>
                <w:highlight w:val="none"/>
              </w:rPr>
            </w:pPr>
            <w:r>
              <w:rPr>
                <w:rFonts w:hint="eastAsia" w:ascii="仿宋" w:hAnsi="仿宋" w:eastAsia="仿宋" w:cs="宋体"/>
                <w:color w:val="auto"/>
                <w:kern w:val="0"/>
                <w:sz w:val="20"/>
                <w:szCs w:val="21"/>
                <w:highlight w:val="none"/>
              </w:rPr>
              <w:t>每项100元/次</w:t>
            </w:r>
          </w:p>
        </w:tc>
      </w:tr>
      <w:tr w14:paraId="0983D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725A14B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27</w:t>
            </w:r>
          </w:p>
        </w:tc>
        <w:tc>
          <w:tcPr>
            <w:tcW w:w="1626" w:type="dxa"/>
            <w:vMerge w:val="restart"/>
            <w:vAlign w:val="center"/>
          </w:tcPr>
          <w:p w14:paraId="07A2532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杆件间距与剪刀撑</w:t>
            </w:r>
          </w:p>
        </w:tc>
        <w:tc>
          <w:tcPr>
            <w:tcW w:w="4611" w:type="dxa"/>
            <w:vAlign w:val="center"/>
          </w:tcPr>
          <w:p w14:paraId="2B26E62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每10延长米立杆、纵向水平杆、横向水平杆距超过规定要求的</w:t>
            </w:r>
          </w:p>
        </w:tc>
        <w:tc>
          <w:tcPr>
            <w:tcW w:w="1560" w:type="dxa"/>
            <w:vAlign w:val="center"/>
          </w:tcPr>
          <w:p w14:paraId="5A56627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1D627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1CD5CC3">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3531482">
            <w:pPr>
              <w:spacing w:line="400" w:lineRule="exact"/>
              <w:jc w:val="center"/>
              <w:rPr>
                <w:rFonts w:ascii="仿宋" w:hAnsi="仿宋" w:eastAsia="仿宋" w:cs="宋体"/>
                <w:color w:val="auto"/>
                <w:kern w:val="0"/>
                <w:sz w:val="20"/>
                <w:szCs w:val="21"/>
                <w:highlight w:val="none"/>
              </w:rPr>
            </w:pPr>
          </w:p>
        </w:tc>
        <w:tc>
          <w:tcPr>
            <w:tcW w:w="4611" w:type="dxa"/>
            <w:vAlign w:val="center"/>
          </w:tcPr>
          <w:p w14:paraId="6AACBD8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不按规定设置剪刀撑的</w:t>
            </w:r>
          </w:p>
        </w:tc>
        <w:tc>
          <w:tcPr>
            <w:tcW w:w="1560" w:type="dxa"/>
            <w:vAlign w:val="center"/>
          </w:tcPr>
          <w:p w14:paraId="68CD018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4D0627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C1EE9B0">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F97523B">
            <w:pPr>
              <w:spacing w:line="400" w:lineRule="exact"/>
              <w:jc w:val="center"/>
              <w:rPr>
                <w:rFonts w:ascii="仿宋" w:hAnsi="仿宋" w:eastAsia="仿宋" w:cs="宋体"/>
                <w:color w:val="auto"/>
                <w:kern w:val="0"/>
                <w:sz w:val="20"/>
                <w:szCs w:val="21"/>
                <w:highlight w:val="none"/>
              </w:rPr>
            </w:pPr>
          </w:p>
        </w:tc>
        <w:tc>
          <w:tcPr>
            <w:tcW w:w="4611" w:type="dxa"/>
            <w:vAlign w:val="center"/>
          </w:tcPr>
          <w:p w14:paraId="28594FD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剪刀撑未沿脚手架高度连续设置或角度不符合要求的</w:t>
            </w:r>
          </w:p>
        </w:tc>
        <w:tc>
          <w:tcPr>
            <w:tcW w:w="1560" w:type="dxa"/>
            <w:vAlign w:val="center"/>
          </w:tcPr>
          <w:p w14:paraId="5063459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4F8CB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4178566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28</w:t>
            </w:r>
          </w:p>
        </w:tc>
        <w:tc>
          <w:tcPr>
            <w:tcW w:w="1626" w:type="dxa"/>
            <w:vMerge w:val="restart"/>
            <w:vAlign w:val="center"/>
          </w:tcPr>
          <w:p w14:paraId="71E9EAB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脚手板与防护栏杆</w:t>
            </w:r>
          </w:p>
        </w:tc>
        <w:tc>
          <w:tcPr>
            <w:tcW w:w="4611" w:type="dxa"/>
            <w:vAlign w:val="center"/>
          </w:tcPr>
          <w:p w14:paraId="67B7675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脚手板不满铺的</w:t>
            </w:r>
          </w:p>
        </w:tc>
        <w:tc>
          <w:tcPr>
            <w:tcW w:w="1560" w:type="dxa"/>
            <w:vAlign w:val="center"/>
          </w:tcPr>
          <w:p w14:paraId="011ACB0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6663E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9CCE98B">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5AD8EDB">
            <w:pPr>
              <w:spacing w:line="400" w:lineRule="exact"/>
              <w:jc w:val="center"/>
              <w:rPr>
                <w:rFonts w:ascii="仿宋" w:hAnsi="仿宋" w:eastAsia="仿宋" w:cs="宋体"/>
                <w:color w:val="auto"/>
                <w:kern w:val="0"/>
                <w:sz w:val="20"/>
                <w:szCs w:val="21"/>
                <w:highlight w:val="none"/>
              </w:rPr>
            </w:pPr>
          </w:p>
        </w:tc>
        <w:tc>
          <w:tcPr>
            <w:tcW w:w="4611" w:type="dxa"/>
            <w:vAlign w:val="center"/>
          </w:tcPr>
          <w:p w14:paraId="43DA4B2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脚手板材质不符合要求的</w:t>
            </w:r>
          </w:p>
        </w:tc>
        <w:tc>
          <w:tcPr>
            <w:tcW w:w="1560" w:type="dxa"/>
            <w:vAlign w:val="center"/>
          </w:tcPr>
          <w:p w14:paraId="262A95A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21797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FF5315B">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D886988">
            <w:pPr>
              <w:spacing w:line="400" w:lineRule="exact"/>
              <w:jc w:val="center"/>
              <w:rPr>
                <w:rFonts w:ascii="仿宋" w:hAnsi="仿宋" w:eastAsia="仿宋" w:cs="宋体"/>
                <w:color w:val="auto"/>
                <w:kern w:val="0"/>
                <w:sz w:val="20"/>
                <w:szCs w:val="21"/>
                <w:highlight w:val="none"/>
              </w:rPr>
            </w:pPr>
          </w:p>
        </w:tc>
        <w:tc>
          <w:tcPr>
            <w:tcW w:w="4611" w:type="dxa"/>
            <w:vAlign w:val="center"/>
          </w:tcPr>
          <w:p w14:paraId="5E910FC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每有一处探头板的</w:t>
            </w:r>
          </w:p>
        </w:tc>
        <w:tc>
          <w:tcPr>
            <w:tcW w:w="1560" w:type="dxa"/>
            <w:vAlign w:val="center"/>
          </w:tcPr>
          <w:p w14:paraId="3676581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494BB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6D56892">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08E5710">
            <w:pPr>
              <w:spacing w:line="400" w:lineRule="exact"/>
              <w:jc w:val="center"/>
              <w:rPr>
                <w:rFonts w:ascii="仿宋" w:hAnsi="仿宋" w:eastAsia="仿宋" w:cs="宋体"/>
                <w:color w:val="auto"/>
                <w:kern w:val="0"/>
                <w:sz w:val="20"/>
                <w:szCs w:val="21"/>
                <w:highlight w:val="none"/>
              </w:rPr>
            </w:pPr>
          </w:p>
        </w:tc>
        <w:tc>
          <w:tcPr>
            <w:tcW w:w="4611" w:type="dxa"/>
            <w:vAlign w:val="center"/>
          </w:tcPr>
          <w:p w14:paraId="0E1390A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脚手架外侧未设置密目式安全网的，或网间不严密的</w:t>
            </w:r>
          </w:p>
        </w:tc>
        <w:tc>
          <w:tcPr>
            <w:tcW w:w="1560" w:type="dxa"/>
            <w:vAlign w:val="center"/>
          </w:tcPr>
          <w:p w14:paraId="6610EAE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7EC8E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CA6D11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D2A1240">
            <w:pPr>
              <w:spacing w:line="400" w:lineRule="exact"/>
              <w:jc w:val="center"/>
              <w:rPr>
                <w:rFonts w:ascii="仿宋" w:hAnsi="仿宋" w:eastAsia="仿宋" w:cs="宋体"/>
                <w:color w:val="auto"/>
                <w:kern w:val="0"/>
                <w:sz w:val="20"/>
                <w:szCs w:val="21"/>
                <w:highlight w:val="none"/>
              </w:rPr>
            </w:pPr>
          </w:p>
        </w:tc>
        <w:tc>
          <w:tcPr>
            <w:tcW w:w="4611" w:type="dxa"/>
            <w:vAlign w:val="center"/>
          </w:tcPr>
          <w:p w14:paraId="01C91A5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施工层不设1.2m高防护栏杆和挡脚板的</w:t>
            </w:r>
          </w:p>
        </w:tc>
        <w:tc>
          <w:tcPr>
            <w:tcW w:w="1560" w:type="dxa"/>
            <w:vAlign w:val="center"/>
          </w:tcPr>
          <w:p w14:paraId="42C3DF4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65DC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7A9F45F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29</w:t>
            </w:r>
          </w:p>
        </w:tc>
        <w:tc>
          <w:tcPr>
            <w:tcW w:w="1626" w:type="dxa"/>
            <w:vMerge w:val="restart"/>
            <w:vAlign w:val="center"/>
          </w:tcPr>
          <w:p w14:paraId="22CEE10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交底与验收</w:t>
            </w:r>
          </w:p>
        </w:tc>
        <w:tc>
          <w:tcPr>
            <w:tcW w:w="4611" w:type="dxa"/>
            <w:vAlign w:val="center"/>
          </w:tcPr>
          <w:p w14:paraId="12B188C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脚手架搭设前无交底的</w:t>
            </w:r>
          </w:p>
        </w:tc>
        <w:tc>
          <w:tcPr>
            <w:tcW w:w="1560" w:type="dxa"/>
            <w:vAlign w:val="center"/>
          </w:tcPr>
          <w:p w14:paraId="600179F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C0E32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9390F42">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C13F550">
            <w:pPr>
              <w:spacing w:line="400" w:lineRule="exact"/>
              <w:jc w:val="center"/>
              <w:rPr>
                <w:rFonts w:ascii="仿宋" w:hAnsi="仿宋" w:eastAsia="仿宋" w:cs="宋体"/>
                <w:color w:val="auto"/>
                <w:kern w:val="0"/>
                <w:sz w:val="20"/>
                <w:szCs w:val="21"/>
                <w:highlight w:val="none"/>
              </w:rPr>
            </w:pPr>
          </w:p>
        </w:tc>
        <w:tc>
          <w:tcPr>
            <w:tcW w:w="4611" w:type="dxa"/>
            <w:vAlign w:val="center"/>
          </w:tcPr>
          <w:p w14:paraId="7B5EDCE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脚手架搭设完毕未办理验收手续的</w:t>
            </w:r>
          </w:p>
        </w:tc>
        <w:tc>
          <w:tcPr>
            <w:tcW w:w="1560" w:type="dxa"/>
            <w:vAlign w:val="center"/>
          </w:tcPr>
          <w:p w14:paraId="428BAA6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93A3D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4A1BC4D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“三宝”、“四口“防护</w:t>
            </w:r>
          </w:p>
        </w:tc>
      </w:tr>
      <w:tr w14:paraId="5BA480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453E6AF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w:t>
            </w:r>
          </w:p>
        </w:tc>
        <w:tc>
          <w:tcPr>
            <w:tcW w:w="1626" w:type="dxa"/>
            <w:vMerge w:val="restart"/>
            <w:vAlign w:val="center"/>
          </w:tcPr>
          <w:p w14:paraId="16A61AA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安全帽</w:t>
            </w:r>
          </w:p>
        </w:tc>
        <w:tc>
          <w:tcPr>
            <w:tcW w:w="4611" w:type="dxa"/>
            <w:vAlign w:val="center"/>
          </w:tcPr>
          <w:p w14:paraId="0C7FE79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施工现场人员未佩戴安全帽</w:t>
            </w:r>
          </w:p>
        </w:tc>
        <w:tc>
          <w:tcPr>
            <w:tcW w:w="1560" w:type="dxa"/>
            <w:vAlign w:val="center"/>
          </w:tcPr>
          <w:p w14:paraId="0471CE1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每项200元/次</w:t>
            </w:r>
          </w:p>
        </w:tc>
      </w:tr>
      <w:tr w14:paraId="255E8F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F965579">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B7C9E0C">
            <w:pPr>
              <w:spacing w:line="400" w:lineRule="exact"/>
              <w:jc w:val="center"/>
              <w:rPr>
                <w:rFonts w:ascii="仿宋" w:hAnsi="仿宋" w:eastAsia="仿宋" w:cs="宋体"/>
                <w:color w:val="auto"/>
                <w:kern w:val="0"/>
                <w:sz w:val="20"/>
                <w:szCs w:val="21"/>
                <w:highlight w:val="none"/>
              </w:rPr>
            </w:pPr>
          </w:p>
        </w:tc>
        <w:tc>
          <w:tcPr>
            <w:tcW w:w="4611" w:type="dxa"/>
            <w:vAlign w:val="center"/>
          </w:tcPr>
          <w:p w14:paraId="7B77503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未按标准佩戴安全帽</w:t>
            </w:r>
          </w:p>
        </w:tc>
        <w:tc>
          <w:tcPr>
            <w:tcW w:w="1560" w:type="dxa"/>
            <w:vAlign w:val="center"/>
          </w:tcPr>
          <w:p w14:paraId="12CC16D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每项200元/次</w:t>
            </w:r>
          </w:p>
        </w:tc>
      </w:tr>
      <w:tr w14:paraId="7F9D72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2D327DF">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47982CB">
            <w:pPr>
              <w:spacing w:line="400" w:lineRule="exact"/>
              <w:jc w:val="center"/>
              <w:rPr>
                <w:rFonts w:ascii="仿宋" w:hAnsi="仿宋" w:eastAsia="仿宋" w:cs="宋体"/>
                <w:color w:val="auto"/>
                <w:kern w:val="0"/>
                <w:sz w:val="20"/>
                <w:szCs w:val="21"/>
                <w:highlight w:val="none"/>
              </w:rPr>
            </w:pPr>
          </w:p>
        </w:tc>
        <w:tc>
          <w:tcPr>
            <w:tcW w:w="4611" w:type="dxa"/>
            <w:vAlign w:val="center"/>
          </w:tcPr>
          <w:p w14:paraId="4C6B0EF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安全帽质量不符合现行国家相关标准的要求</w:t>
            </w:r>
          </w:p>
        </w:tc>
        <w:tc>
          <w:tcPr>
            <w:tcW w:w="1560" w:type="dxa"/>
            <w:vAlign w:val="center"/>
          </w:tcPr>
          <w:p w14:paraId="29953ED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每项200元/次</w:t>
            </w:r>
          </w:p>
        </w:tc>
      </w:tr>
      <w:tr w14:paraId="27F21F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465BB59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31</w:t>
            </w:r>
          </w:p>
        </w:tc>
        <w:tc>
          <w:tcPr>
            <w:tcW w:w="1626" w:type="dxa"/>
            <w:vMerge w:val="restart"/>
            <w:vAlign w:val="center"/>
          </w:tcPr>
          <w:p w14:paraId="486C1B7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安全网</w:t>
            </w:r>
          </w:p>
        </w:tc>
        <w:tc>
          <w:tcPr>
            <w:tcW w:w="4611" w:type="dxa"/>
            <w:vAlign w:val="center"/>
          </w:tcPr>
          <w:p w14:paraId="591A123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在建工程外脚手架架体外侧未采用密目式安全网封闭或网间连接不严</w:t>
            </w:r>
          </w:p>
        </w:tc>
        <w:tc>
          <w:tcPr>
            <w:tcW w:w="1560" w:type="dxa"/>
            <w:vAlign w:val="center"/>
          </w:tcPr>
          <w:p w14:paraId="1B136A6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3D64E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C779BB3">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401EB82">
            <w:pPr>
              <w:spacing w:line="400" w:lineRule="exact"/>
              <w:jc w:val="center"/>
              <w:rPr>
                <w:rFonts w:ascii="仿宋" w:hAnsi="仿宋" w:eastAsia="仿宋" w:cs="宋体"/>
                <w:color w:val="auto"/>
                <w:kern w:val="0"/>
                <w:sz w:val="20"/>
                <w:szCs w:val="21"/>
                <w:highlight w:val="none"/>
              </w:rPr>
            </w:pPr>
          </w:p>
        </w:tc>
        <w:tc>
          <w:tcPr>
            <w:tcW w:w="4611" w:type="dxa"/>
            <w:vAlign w:val="center"/>
          </w:tcPr>
          <w:p w14:paraId="6316F9A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安全网质量不符合现行国家相关标准的要求安全网质量不符合现行国家相关标准的要求</w:t>
            </w:r>
          </w:p>
        </w:tc>
        <w:tc>
          <w:tcPr>
            <w:tcW w:w="1560" w:type="dxa"/>
            <w:vAlign w:val="center"/>
          </w:tcPr>
          <w:p w14:paraId="35759D6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5864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5A56F0A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32</w:t>
            </w:r>
          </w:p>
        </w:tc>
        <w:tc>
          <w:tcPr>
            <w:tcW w:w="1626" w:type="dxa"/>
            <w:vMerge w:val="restart"/>
            <w:vAlign w:val="center"/>
          </w:tcPr>
          <w:p w14:paraId="6073276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安全带</w:t>
            </w:r>
          </w:p>
        </w:tc>
        <w:tc>
          <w:tcPr>
            <w:tcW w:w="4611" w:type="dxa"/>
            <w:vAlign w:val="center"/>
          </w:tcPr>
          <w:p w14:paraId="0CBB549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安全带高处作业人员未按规定系挂安全带</w:t>
            </w:r>
          </w:p>
        </w:tc>
        <w:tc>
          <w:tcPr>
            <w:tcW w:w="1560" w:type="dxa"/>
            <w:vAlign w:val="center"/>
          </w:tcPr>
          <w:p w14:paraId="54F9A29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309377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447606F">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831945A">
            <w:pPr>
              <w:spacing w:line="400" w:lineRule="exact"/>
              <w:jc w:val="center"/>
              <w:rPr>
                <w:rFonts w:ascii="仿宋" w:hAnsi="仿宋" w:eastAsia="仿宋" w:cs="宋体"/>
                <w:color w:val="auto"/>
                <w:kern w:val="0"/>
                <w:sz w:val="20"/>
                <w:szCs w:val="21"/>
                <w:highlight w:val="none"/>
              </w:rPr>
            </w:pPr>
          </w:p>
        </w:tc>
        <w:tc>
          <w:tcPr>
            <w:tcW w:w="4611" w:type="dxa"/>
            <w:vAlign w:val="center"/>
          </w:tcPr>
          <w:p w14:paraId="0BF5730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安全带系挂不符合要求</w:t>
            </w:r>
          </w:p>
        </w:tc>
        <w:tc>
          <w:tcPr>
            <w:tcW w:w="1560" w:type="dxa"/>
            <w:vAlign w:val="center"/>
          </w:tcPr>
          <w:p w14:paraId="0ACE0A5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EE2D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D53C37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253CA40">
            <w:pPr>
              <w:spacing w:line="400" w:lineRule="exact"/>
              <w:jc w:val="center"/>
              <w:rPr>
                <w:rFonts w:ascii="仿宋" w:hAnsi="仿宋" w:eastAsia="仿宋" w:cs="宋体"/>
                <w:color w:val="auto"/>
                <w:kern w:val="0"/>
                <w:sz w:val="20"/>
                <w:szCs w:val="21"/>
                <w:highlight w:val="none"/>
              </w:rPr>
            </w:pPr>
          </w:p>
        </w:tc>
        <w:tc>
          <w:tcPr>
            <w:tcW w:w="4611" w:type="dxa"/>
            <w:vAlign w:val="center"/>
          </w:tcPr>
          <w:p w14:paraId="50F8810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安全带质量不符合现行国家相关标准的要求</w:t>
            </w:r>
          </w:p>
        </w:tc>
        <w:tc>
          <w:tcPr>
            <w:tcW w:w="1560" w:type="dxa"/>
            <w:vAlign w:val="center"/>
          </w:tcPr>
          <w:p w14:paraId="7058AE6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A36E7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6B0F5D6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33</w:t>
            </w:r>
          </w:p>
        </w:tc>
        <w:tc>
          <w:tcPr>
            <w:tcW w:w="1626" w:type="dxa"/>
            <w:vMerge w:val="restart"/>
            <w:vAlign w:val="center"/>
          </w:tcPr>
          <w:p w14:paraId="6826DA0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临边防护</w:t>
            </w:r>
          </w:p>
        </w:tc>
        <w:tc>
          <w:tcPr>
            <w:tcW w:w="4611" w:type="dxa"/>
            <w:vAlign w:val="center"/>
          </w:tcPr>
          <w:p w14:paraId="31B66D9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工作面边沿无临边防护</w:t>
            </w:r>
          </w:p>
        </w:tc>
        <w:tc>
          <w:tcPr>
            <w:tcW w:w="1560" w:type="dxa"/>
            <w:vAlign w:val="center"/>
          </w:tcPr>
          <w:p w14:paraId="7FCAFC5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4C476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9C2FCC4">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A2699F1">
            <w:pPr>
              <w:spacing w:line="400" w:lineRule="exact"/>
              <w:jc w:val="center"/>
              <w:rPr>
                <w:rFonts w:ascii="仿宋" w:hAnsi="仿宋" w:eastAsia="仿宋" w:cs="宋体"/>
                <w:color w:val="auto"/>
                <w:kern w:val="0"/>
                <w:sz w:val="20"/>
                <w:szCs w:val="21"/>
                <w:highlight w:val="none"/>
              </w:rPr>
            </w:pPr>
          </w:p>
        </w:tc>
        <w:tc>
          <w:tcPr>
            <w:tcW w:w="4611" w:type="dxa"/>
            <w:vAlign w:val="center"/>
          </w:tcPr>
          <w:p w14:paraId="57D2894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临边防护设施的构造、强度不符合规范要求</w:t>
            </w:r>
          </w:p>
        </w:tc>
        <w:tc>
          <w:tcPr>
            <w:tcW w:w="1560" w:type="dxa"/>
            <w:vAlign w:val="center"/>
          </w:tcPr>
          <w:p w14:paraId="521CC02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4CB09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54B2182">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805E0AE">
            <w:pPr>
              <w:spacing w:line="400" w:lineRule="exact"/>
              <w:jc w:val="center"/>
              <w:rPr>
                <w:rFonts w:ascii="仿宋" w:hAnsi="仿宋" w:eastAsia="仿宋" w:cs="宋体"/>
                <w:color w:val="auto"/>
                <w:kern w:val="0"/>
                <w:sz w:val="20"/>
                <w:szCs w:val="21"/>
                <w:highlight w:val="none"/>
              </w:rPr>
            </w:pPr>
          </w:p>
        </w:tc>
        <w:tc>
          <w:tcPr>
            <w:tcW w:w="4611" w:type="dxa"/>
            <w:vAlign w:val="center"/>
          </w:tcPr>
          <w:p w14:paraId="69003B7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防护设施未形成定型化、工具式</w:t>
            </w:r>
          </w:p>
        </w:tc>
        <w:tc>
          <w:tcPr>
            <w:tcW w:w="1560" w:type="dxa"/>
            <w:vAlign w:val="center"/>
          </w:tcPr>
          <w:p w14:paraId="3FAA370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BDC1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1CE4697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34</w:t>
            </w:r>
          </w:p>
        </w:tc>
        <w:tc>
          <w:tcPr>
            <w:tcW w:w="1626" w:type="dxa"/>
            <w:vMerge w:val="restart"/>
            <w:vAlign w:val="center"/>
          </w:tcPr>
          <w:p w14:paraId="13276F5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洞口防护</w:t>
            </w:r>
          </w:p>
        </w:tc>
        <w:tc>
          <w:tcPr>
            <w:tcW w:w="4611" w:type="dxa"/>
            <w:vAlign w:val="center"/>
          </w:tcPr>
          <w:p w14:paraId="680B528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在建工程的孔、洞未采取防护措施</w:t>
            </w:r>
          </w:p>
        </w:tc>
        <w:tc>
          <w:tcPr>
            <w:tcW w:w="1560" w:type="dxa"/>
            <w:vAlign w:val="center"/>
          </w:tcPr>
          <w:p w14:paraId="6E1562C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3FB8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1450323">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8DE3103">
            <w:pPr>
              <w:spacing w:line="400" w:lineRule="exact"/>
              <w:rPr>
                <w:rFonts w:ascii="仿宋" w:hAnsi="仿宋" w:eastAsia="仿宋" w:cs="宋体"/>
                <w:color w:val="auto"/>
                <w:kern w:val="0"/>
                <w:sz w:val="20"/>
                <w:szCs w:val="21"/>
                <w:highlight w:val="none"/>
              </w:rPr>
            </w:pPr>
          </w:p>
        </w:tc>
        <w:tc>
          <w:tcPr>
            <w:tcW w:w="4611" w:type="dxa"/>
            <w:vAlign w:val="center"/>
          </w:tcPr>
          <w:p w14:paraId="645099A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防护措施、设施不符合要求或不严密</w:t>
            </w:r>
          </w:p>
        </w:tc>
        <w:tc>
          <w:tcPr>
            <w:tcW w:w="1560" w:type="dxa"/>
            <w:vAlign w:val="center"/>
          </w:tcPr>
          <w:p w14:paraId="0128635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FEA19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D4A9548">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11353C1">
            <w:pPr>
              <w:spacing w:line="400" w:lineRule="exact"/>
              <w:rPr>
                <w:rFonts w:ascii="仿宋" w:hAnsi="仿宋" w:eastAsia="仿宋" w:cs="宋体"/>
                <w:color w:val="auto"/>
                <w:kern w:val="0"/>
                <w:sz w:val="20"/>
                <w:szCs w:val="21"/>
                <w:highlight w:val="none"/>
              </w:rPr>
            </w:pPr>
          </w:p>
        </w:tc>
        <w:tc>
          <w:tcPr>
            <w:tcW w:w="4611" w:type="dxa"/>
            <w:vAlign w:val="center"/>
          </w:tcPr>
          <w:p w14:paraId="19846D0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防护措施未形成定型化、工具式</w:t>
            </w:r>
          </w:p>
        </w:tc>
        <w:tc>
          <w:tcPr>
            <w:tcW w:w="1560" w:type="dxa"/>
            <w:vAlign w:val="center"/>
          </w:tcPr>
          <w:p w14:paraId="7B2741E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CA273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7F68915">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39E736B">
            <w:pPr>
              <w:spacing w:line="400" w:lineRule="exact"/>
              <w:rPr>
                <w:rFonts w:ascii="仿宋" w:hAnsi="仿宋" w:eastAsia="仿宋" w:cs="宋体"/>
                <w:color w:val="auto"/>
                <w:kern w:val="0"/>
                <w:sz w:val="20"/>
                <w:szCs w:val="21"/>
                <w:highlight w:val="none"/>
              </w:rPr>
            </w:pPr>
          </w:p>
        </w:tc>
        <w:tc>
          <w:tcPr>
            <w:tcW w:w="4611" w:type="dxa"/>
            <w:vAlign w:val="center"/>
          </w:tcPr>
          <w:p w14:paraId="502E68A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电梯井内未按每隔两层且不大于10m设置安全平网</w:t>
            </w:r>
          </w:p>
        </w:tc>
        <w:tc>
          <w:tcPr>
            <w:tcW w:w="1560" w:type="dxa"/>
            <w:vAlign w:val="center"/>
          </w:tcPr>
          <w:p w14:paraId="2D783F0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E20B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7165A38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35</w:t>
            </w:r>
          </w:p>
        </w:tc>
        <w:tc>
          <w:tcPr>
            <w:tcW w:w="1626" w:type="dxa"/>
            <w:vMerge w:val="restart"/>
            <w:vAlign w:val="center"/>
          </w:tcPr>
          <w:p w14:paraId="198F356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通道口防护</w:t>
            </w:r>
          </w:p>
        </w:tc>
        <w:tc>
          <w:tcPr>
            <w:tcW w:w="4611" w:type="dxa"/>
            <w:vAlign w:val="center"/>
          </w:tcPr>
          <w:p w14:paraId="11B7130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未搭设防护棚或防护不严、不牢固</w:t>
            </w:r>
          </w:p>
        </w:tc>
        <w:tc>
          <w:tcPr>
            <w:tcW w:w="1560" w:type="dxa"/>
            <w:vAlign w:val="center"/>
          </w:tcPr>
          <w:p w14:paraId="789713B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62519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827D3D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A345311">
            <w:pPr>
              <w:spacing w:line="400" w:lineRule="exact"/>
              <w:jc w:val="center"/>
              <w:rPr>
                <w:rFonts w:ascii="仿宋" w:hAnsi="仿宋" w:eastAsia="仿宋" w:cs="宋体"/>
                <w:color w:val="auto"/>
                <w:kern w:val="0"/>
                <w:sz w:val="20"/>
                <w:szCs w:val="21"/>
                <w:highlight w:val="none"/>
              </w:rPr>
            </w:pPr>
          </w:p>
        </w:tc>
        <w:tc>
          <w:tcPr>
            <w:tcW w:w="4611" w:type="dxa"/>
            <w:vAlign w:val="center"/>
          </w:tcPr>
          <w:p w14:paraId="63218B0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防护棚两侧未进行封闭</w:t>
            </w:r>
          </w:p>
        </w:tc>
        <w:tc>
          <w:tcPr>
            <w:tcW w:w="1560" w:type="dxa"/>
            <w:vAlign w:val="center"/>
          </w:tcPr>
          <w:p w14:paraId="429F851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28AF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136F216">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B92AA60">
            <w:pPr>
              <w:spacing w:line="400" w:lineRule="exact"/>
              <w:jc w:val="center"/>
              <w:rPr>
                <w:rFonts w:ascii="仿宋" w:hAnsi="仿宋" w:eastAsia="仿宋" w:cs="宋体"/>
                <w:color w:val="auto"/>
                <w:kern w:val="0"/>
                <w:sz w:val="20"/>
                <w:szCs w:val="21"/>
                <w:highlight w:val="none"/>
              </w:rPr>
            </w:pPr>
          </w:p>
        </w:tc>
        <w:tc>
          <w:tcPr>
            <w:tcW w:w="4611" w:type="dxa"/>
            <w:vAlign w:val="center"/>
          </w:tcPr>
          <w:p w14:paraId="0512DEE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防护棚宽度小于通道口宽度</w:t>
            </w:r>
          </w:p>
        </w:tc>
        <w:tc>
          <w:tcPr>
            <w:tcW w:w="1560" w:type="dxa"/>
            <w:vAlign w:val="center"/>
          </w:tcPr>
          <w:p w14:paraId="418DF47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8899C62">
        <w:tblPrEx>
          <w:tblCellMar>
            <w:top w:w="0" w:type="dxa"/>
            <w:left w:w="108" w:type="dxa"/>
            <w:bottom w:w="0" w:type="dxa"/>
            <w:right w:w="108" w:type="dxa"/>
          </w:tblCellMar>
        </w:tblPrEx>
        <w:trPr>
          <w:jc w:val="center"/>
        </w:trPr>
        <w:tc>
          <w:tcPr>
            <w:tcW w:w="709" w:type="dxa"/>
            <w:vMerge w:val="continue"/>
            <w:vAlign w:val="center"/>
          </w:tcPr>
          <w:p w14:paraId="62E38AEE">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977B081">
            <w:pPr>
              <w:spacing w:line="400" w:lineRule="exact"/>
              <w:jc w:val="center"/>
              <w:rPr>
                <w:rFonts w:ascii="仿宋" w:hAnsi="仿宋" w:eastAsia="仿宋" w:cs="宋体"/>
                <w:color w:val="auto"/>
                <w:kern w:val="0"/>
                <w:sz w:val="20"/>
                <w:szCs w:val="21"/>
                <w:highlight w:val="none"/>
              </w:rPr>
            </w:pPr>
          </w:p>
        </w:tc>
        <w:tc>
          <w:tcPr>
            <w:tcW w:w="4611" w:type="dxa"/>
            <w:vAlign w:val="center"/>
          </w:tcPr>
          <w:p w14:paraId="239CA57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防护棚长度不符合要求</w:t>
            </w:r>
          </w:p>
        </w:tc>
        <w:tc>
          <w:tcPr>
            <w:tcW w:w="1560" w:type="dxa"/>
            <w:vAlign w:val="center"/>
          </w:tcPr>
          <w:p w14:paraId="51654CF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6A1F9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96EF8B0">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07985C6">
            <w:pPr>
              <w:spacing w:line="400" w:lineRule="exact"/>
              <w:jc w:val="center"/>
              <w:rPr>
                <w:rFonts w:ascii="仿宋" w:hAnsi="仿宋" w:eastAsia="仿宋" w:cs="宋体"/>
                <w:color w:val="auto"/>
                <w:kern w:val="0"/>
                <w:sz w:val="20"/>
                <w:szCs w:val="21"/>
                <w:highlight w:val="none"/>
              </w:rPr>
            </w:pPr>
          </w:p>
        </w:tc>
        <w:tc>
          <w:tcPr>
            <w:tcW w:w="4611" w:type="dxa"/>
            <w:vAlign w:val="center"/>
          </w:tcPr>
          <w:p w14:paraId="3D47F74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建筑物高度超过24m，防护棚顶未采用双层防护</w:t>
            </w:r>
          </w:p>
        </w:tc>
        <w:tc>
          <w:tcPr>
            <w:tcW w:w="1560" w:type="dxa"/>
            <w:vAlign w:val="center"/>
          </w:tcPr>
          <w:p w14:paraId="7E96C35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6DCFC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7E3F57F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36</w:t>
            </w:r>
          </w:p>
        </w:tc>
        <w:tc>
          <w:tcPr>
            <w:tcW w:w="1626" w:type="dxa"/>
            <w:vMerge w:val="restart"/>
            <w:vAlign w:val="center"/>
          </w:tcPr>
          <w:p w14:paraId="153B089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悬空作业</w:t>
            </w:r>
          </w:p>
        </w:tc>
        <w:tc>
          <w:tcPr>
            <w:tcW w:w="4611" w:type="dxa"/>
            <w:vAlign w:val="center"/>
          </w:tcPr>
          <w:p w14:paraId="233BCC8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悬空作业未设置防护栏杆或其他可靠的安全设施</w:t>
            </w:r>
          </w:p>
        </w:tc>
        <w:tc>
          <w:tcPr>
            <w:tcW w:w="1560" w:type="dxa"/>
            <w:vAlign w:val="center"/>
          </w:tcPr>
          <w:p w14:paraId="57D2C7F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9EC5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8CF346D">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158202E">
            <w:pPr>
              <w:spacing w:line="400" w:lineRule="exact"/>
              <w:jc w:val="center"/>
              <w:rPr>
                <w:rFonts w:ascii="仿宋" w:hAnsi="仿宋" w:eastAsia="仿宋" w:cs="宋体"/>
                <w:color w:val="auto"/>
                <w:kern w:val="0"/>
                <w:sz w:val="20"/>
                <w:szCs w:val="21"/>
                <w:highlight w:val="none"/>
              </w:rPr>
            </w:pPr>
          </w:p>
        </w:tc>
        <w:tc>
          <w:tcPr>
            <w:tcW w:w="4611" w:type="dxa"/>
            <w:vAlign w:val="center"/>
          </w:tcPr>
          <w:p w14:paraId="20C0012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悬空作业所用的锁具、吊具等未经验收</w:t>
            </w:r>
          </w:p>
        </w:tc>
        <w:tc>
          <w:tcPr>
            <w:tcW w:w="1560" w:type="dxa"/>
            <w:vAlign w:val="center"/>
          </w:tcPr>
          <w:p w14:paraId="5D5A13A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81440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8054EB0">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2886CCB">
            <w:pPr>
              <w:spacing w:line="400" w:lineRule="exact"/>
              <w:jc w:val="center"/>
              <w:rPr>
                <w:rFonts w:ascii="仿宋" w:hAnsi="仿宋" w:eastAsia="仿宋" w:cs="宋体"/>
                <w:color w:val="auto"/>
                <w:kern w:val="0"/>
                <w:sz w:val="20"/>
                <w:szCs w:val="21"/>
                <w:highlight w:val="none"/>
              </w:rPr>
            </w:pPr>
          </w:p>
        </w:tc>
        <w:tc>
          <w:tcPr>
            <w:tcW w:w="4611" w:type="dxa"/>
            <w:vAlign w:val="center"/>
          </w:tcPr>
          <w:p w14:paraId="32C9DC7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悬空作业人员未系安全带或佩带工具袋</w:t>
            </w:r>
          </w:p>
        </w:tc>
        <w:tc>
          <w:tcPr>
            <w:tcW w:w="1560" w:type="dxa"/>
            <w:vAlign w:val="center"/>
          </w:tcPr>
          <w:p w14:paraId="42A50A0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11CC1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0940C11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37</w:t>
            </w:r>
          </w:p>
        </w:tc>
        <w:tc>
          <w:tcPr>
            <w:tcW w:w="1626" w:type="dxa"/>
            <w:vMerge w:val="restart"/>
            <w:vAlign w:val="center"/>
          </w:tcPr>
          <w:p w14:paraId="3857D9F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移动式操平台台面</w:t>
            </w:r>
          </w:p>
        </w:tc>
        <w:tc>
          <w:tcPr>
            <w:tcW w:w="4611" w:type="dxa"/>
            <w:vAlign w:val="center"/>
          </w:tcPr>
          <w:p w14:paraId="289D89E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移动式操作平台，轮子与平台的连接不牢固可靠或立柱底端离地面超过80mm</w:t>
            </w:r>
          </w:p>
        </w:tc>
        <w:tc>
          <w:tcPr>
            <w:tcW w:w="1560" w:type="dxa"/>
            <w:vAlign w:val="center"/>
          </w:tcPr>
          <w:p w14:paraId="429AF0A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63C39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1A86234">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B37CC97">
            <w:pPr>
              <w:spacing w:line="400" w:lineRule="exact"/>
              <w:rPr>
                <w:rFonts w:ascii="仿宋" w:hAnsi="仿宋" w:eastAsia="仿宋" w:cs="宋体"/>
                <w:color w:val="auto"/>
                <w:kern w:val="0"/>
                <w:sz w:val="20"/>
                <w:szCs w:val="21"/>
                <w:highlight w:val="none"/>
              </w:rPr>
            </w:pPr>
          </w:p>
        </w:tc>
        <w:tc>
          <w:tcPr>
            <w:tcW w:w="4611" w:type="dxa"/>
            <w:vAlign w:val="center"/>
          </w:tcPr>
          <w:p w14:paraId="342F9FB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操作平台的组装不符合设计和规范要求</w:t>
            </w:r>
          </w:p>
        </w:tc>
        <w:tc>
          <w:tcPr>
            <w:tcW w:w="1560" w:type="dxa"/>
            <w:vAlign w:val="center"/>
          </w:tcPr>
          <w:p w14:paraId="114F404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798190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FB7CDB2">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2755C3C">
            <w:pPr>
              <w:spacing w:line="400" w:lineRule="exact"/>
              <w:rPr>
                <w:rFonts w:ascii="仿宋" w:hAnsi="仿宋" w:eastAsia="仿宋" w:cs="宋体"/>
                <w:color w:val="auto"/>
                <w:kern w:val="0"/>
                <w:sz w:val="20"/>
                <w:szCs w:val="21"/>
                <w:highlight w:val="none"/>
              </w:rPr>
            </w:pPr>
          </w:p>
        </w:tc>
        <w:tc>
          <w:tcPr>
            <w:tcW w:w="4611" w:type="dxa"/>
            <w:vAlign w:val="center"/>
          </w:tcPr>
          <w:p w14:paraId="4D4BE99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平台台面铺板操作不严</w:t>
            </w:r>
          </w:p>
        </w:tc>
        <w:tc>
          <w:tcPr>
            <w:tcW w:w="1560" w:type="dxa"/>
            <w:vAlign w:val="center"/>
          </w:tcPr>
          <w:p w14:paraId="24E7136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A14AB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AA6B223">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735EE0A">
            <w:pPr>
              <w:spacing w:line="400" w:lineRule="exact"/>
              <w:rPr>
                <w:rFonts w:ascii="仿宋" w:hAnsi="仿宋" w:eastAsia="仿宋" w:cs="宋体"/>
                <w:color w:val="auto"/>
                <w:kern w:val="0"/>
                <w:sz w:val="20"/>
                <w:szCs w:val="21"/>
                <w:highlight w:val="none"/>
              </w:rPr>
            </w:pPr>
          </w:p>
        </w:tc>
        <w:tc>
          <w:tcPr>
            <w:tcW w:w="4611" w:type="dxa"/>
            <w:vAlign w:val="center"/>
          </w:tcPr>
          <w:p w14:paraId="410B2D1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操作平台四周未按规定设置防护栏杆或未设置登高扶梯</w:t>
            </w:r>
          </w:p>
        </w:tc>
        <w:tc>
          <w:tcPr>
            <w:tcW w:w="1560" w:type="dxa"/>
            <w:vAlign w:val="center"/>
          </w:tcPr>
          <w:p w14:paraId="2F63C29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5DF6D7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7AE6010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38</w:t>
            </w:r>
          </w:p>
        </w:tc>
        <w:tc>
          <w:tcPr>
            <w:tcW w:w="1626" w:type="dxa"/>
            <w:vMerge w:val="restart"/>
            <w:vAlign w:val="center"/>
          </w:tcPr>
          <w:p w14:paraId="4396DCA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悬挑式物料钢平台</w:t>
            </w:r>
          </w:p>
        </w:tc>
        <w:tc>
          <w:tcPr>
            <w:tcW w:w="4611" w:type="dxa"/>
            <w:vAlign w:val="center"/>
          </w:tcPr>
          <w:p w14:paraId="6CBDF32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未编制专项施工方案或未经设计计算</w:t>
            </w:r>
          </w:p>
        </w:tc>
        <w:tc>
          <w:tcPr>
            <w:tcW w:w="1560" w:type="dxa"/>
            <w:vAlign w:val="center"/>
          </w:tcPr>
          <w:p w14:paraId="379E53F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072632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D5736CF">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AE227BD">
            <w:pPr>
              <w:spacing w:line="400" w:lineRule="exact"/>
              <w:rPr>
                <w:rFonts w:ascii="仿宋" w:hAnsi="仿宋" w:eastAsia="仿宋" w:cs="宋体"/>
                <w:color w:val="auto"/>
                <w:kern w:val="0"/>
                <w:sz w:val="20"/>
                <w:szCs w:val="21"/>
                <w:highlight w:val="none"/>
              </w:rPr>
            </w:pPr>
          </w:p>
        </w:tc>
        <w:tc>
          <w:tcPr>
            <w:tcW w:w="4611" w:type="dxa"/>
            <w:vAlign w:val="center"/>
          </w:tcPr>
          <w:p w14:paraId="19EF42C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挑式钢平台的下部支撑系统或上部拉结点，未设置在建筑结构上</w:t>
            </w:r>
          </w:p>
        </w:tc>
        <w:tc>
          <w:tcPr>
            <w:tcW w:w="1560" w:type="dxa"/>
            <w:vAlign w:val="center"/>
          </w:tcPr>
          <w:p w14:paraId="0855F69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37FFA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4608831">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6C3FB75">
            <w:pPr>
              <w:spacing w:line="400" w:lineRule="exact"/>
              <w:rPr>
                <w:rFonts w:ascii="仿宋" w:hAnsi="仿宋" w:eastAsia="仿宋" w:cs="宋体"/>
                <w:color w:val="auto"/>
                <w:kern w:val="0"/>
                <w:sz w:val="20"/>
                <w:szCs w:val="21"/>
                <w:highlight w:val="none"/>
              </w:rPr>
            </w:pPr>
          </w:p>
        </w:tc>
        <w:tc>
          <w:tcPr>
            <w:tcW w:w="4611" w:type="dxa"/>
            <w:vAlign w:val="center"/>
          </w:tcPr>
          <w:p w14:paraId="446E82B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斜拉杆或钢丝绳未按要求在平台两道</w:t>
            </w:r>
          </w:p>
        </w:tc>
        <w:tc>
          <w:tcPr>
            <w:tcW w:w="1560" w:type="dxa"/>
            <w:vAlign w:val="center"/>
          </w:tcPr>
          <w:p w14:paraId="25F5936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03529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B5EC628">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7227D87">
            <w:pPr>
              <w:spacing w:line="400" w:lineRule="exact"/>
              <w:rPr>
                <w:rFonts w:ascii="仿宋" w:hAnsi="仿宋" w:eastAsia="仿宋" w:cs="宋体"/>
                <w:color w:val="auto"/>
                <w:kern w:val="0"/>
                <w:sz w:val="20"/>
                <w:szCs w:val="21"/>
                <w:highlight w:val="none"/>
              </w:rPr>
            </w:pPr>
          </w:p>
        </w:tc>
        <w:tc>
          <w:tcPr>
            <w:tcW w:w="4611" w:type="dxa"/>
            <w:vAlign w:val="center"/>
          </w:tcPr>
          <w:p w14:paraId="6AA838F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钢平台未按要求设置固定的防护栏杆或挡脚板</w:t>
            </w:r>
          </w:p>
        </w:tc>
        <w:tc>
          <w:tcPr>
            <w:tcW w:w="1560" w:type="dxa"/>
            <w:vAlign w:val="center"/>
          </w:tcPr>
          <w:p w14:paraId="4CD902F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02FA6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877A3C9">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7420B9E">
            <w:pPr>
              <w:spacing w:line="400" w:lineRule="exact"/>
              <w:rPr>
                <w:rFonts w:ascii="仿宋" w:hAnsi="仿宋" w:eastAsia="仿宋" w:cs="宋体"/>
                <w:color w:val="auto"/>
                <w:kern w:val="0"/>
                <w:sz w:val="20"/>
                <w:szCs w:val="21"/>
                <w:highlight w:val="none"/>
              </w:rPr>
            </w:pPr>
          </w:p>
        </w:tc>
        <w:tc>
          <w:tcPr>
            <w:tcW w:w="4611" w:type="dxa"/>
            <w:vAlign w:val="center"/>
          </w:tcPr>
          <w:p w14:paraId="7AB4673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钢平台台面铺板不严或钢平台与建筑结构之间铺板不严</w:t>
            </w:r>
          </w:p>
        </w:tc>
        <w:tc>
          <w:tcPr>
            <w:tcW w:w="1560" w:type="dxa"/>
            <w:vAlign w:val="center"/>
          </w:tcPr>
          <w:p w14:paraId="24B592E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B5C2D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EAABCDD">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82C15B2">
            <w:pPr>
              <w:spacing w:line="400" w:lineRule="exact"/>
              <w:rPr>
                <w:rFonts w:ascii="仿宋" w:hAnsi="仿宋" w:eastAsia="仿宋" w:cs="宋体"/>
                <w:color w:val="auto"/>
                <w:kern w:val="0"/>
                <w:sz w:val="20"/>
                <w:szCs w:val="21"/>
                <w:highlight w:val="none"/>
              </w:rPr>
            </w:pPr>
          </w:p>
        </w:tc>
        <w:tc>
          <w:tcPr>
            <w:tcW w:w="4611" w:type="dxa"/>
            <w:vAlign w:val="center"/>
          </w:tcPr>
          <w:p w14:paraId="32CFDC3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未在平台明显处设置荷载限定标牌</w:t>
            </w:r>
          </w:p>
        </w:tc>
        <w:tc>
          <w:tcPr>
            <w:tcW w:w="1560" w:type="dxa"/>
            <w:vAlign w:val="center"/>
          </w:tcPr>
          <w:p w14:paraId="61BD6D1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848F8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0AE1B3B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施工用电</w:t>
            </w:r>
          </w:p>
        </w:tc>
      </w:tr>
      <w:tr w14:paraId="468421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663499B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39</w:t>
            </w:r>
          </w:p>
        </w:tc>
        <w:tc>
          <w:tcPr>
            <w:tcW w:w="1626" w:type="dxa"/>
            <w:vMerge w:val="restart"/>
            <w:vAlign w:val="center"/>
          </w:tcPr>
          <w:p w14:paraId="4BC9269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外电防护</w:t>
            </w:r>
          </w:p>
        </w:tc>
        <w:tc>
          <w:tcPr>
            <w:tcW w:w="4611" w:type="dxa"/>
            <w:vAlign w:val="center"/>
          </w:tcPr>
          <w:p w14:paraId="0F105F6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小于安全距离又无防护措施的</w:t>
            </w:r>
          </w:p>
        </w:tc>
        <w:tc>
          <w:tcPr>
            <w:tcW w:w="1560" w:type="dxa"/>
            <w:vAlign w:val="center"/>
          </w:tcPr>
          <w:p w14:paraId="6550266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B956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98FB6B8">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1ADC941">
            <w:pPr>
              <w:spacing w:line="400" w:lineRule="exact"/>
              <w:jc w:val="center"/>
              <w:rPr>
                <w:rFonts w:ascii="仿宋" w:hAnsi="仿宋" w:eastAsia="仿宋" w:cs="宋体"/>
                <w:color w:val="auto"/>
                <w:kern w:val="0"/>
                <w:sz w:val="20"/>
                <w:szCs w:val="21"/>
                <w:highlight w:val="none"/>
              </w:rPr>
            </w:pPr>
          </w:p>
        </w:tc>
        <w:tc>
          <w:tcPr>
            <w:tcW w:w="4611" w:type="dxa"/>
            <w:vAlign w:val="center"/>
          </w:tcPr>
          <w:p w14:paraId="28D50B8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防护措施不符合要求、封闭不严密的</w:t>
            </w:r>
          </w:p>
        </w:tc>
        <w:tc>
          <w:tcPr>
            <w:tcW w:w="1560" w:type="dxa"/>
            <w:vAlign w:val="center"/>
          </w:tcPr>
          <w:p w14:paraId="4F678D6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FE270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5A5559F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40</w:t>
            </w:r>
          </w:p>
        </w:tc>
        <w:tc>
          <w:tcPr>
            <w:tcW w:w="1626" w:type="dxa"/>
            <w:vMerge w:val="restart"/>
            <w:vAlign w:val="center"/>
          </w:tcPr>
          <w:p w14:paraId="7EDBC53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接地与零保护系统</w:t>
            </w:r>
          </w:p>
        </w:tc>
        <w:tc>
          <w:tcPr>
            <w:tcW w:w="4611" w:type="dxa"/>
            <w:vAlign w:val="center"/>
          </w:tcPr>
          <w:p w14:paraId="285235C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工作接地与重复接地不符合要求的</w:t>
            </w:r>
          </w:p>
        </w:tc>
        <w:tc>
          <w:tcPr>
            <w:tcW w:w="1560" w:type="dxa"/>
            <w:vAlign w:val="center"/>
          </w:tcPr>
          <w:p w14:paraId="0B4CE5E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2CE55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C0C512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C19973A">
            <w:pPr>
              <w:spacing w:line="400" w:lineRule="exact"/>
              <w:jc w:val="center"/>
              <w:rPr>
                <w:rFonts w:ascii="仿宋" w:hAnsi="仿宋" w:eastAsia="仿宋" w:cs="宋体"/>
                <w:color w:val="auto"/>
                <w:kern w:val="0"/>
                <w:sz w:val="20"/>
                <w:szCs w:val="21"/>
                <w:highlight w:val="none"/>
              </w:rPr>
            </w:pPr>
          </w:p>
        </w:tc>
        <w:tc>
          <w:tcPr>
            <w:tcW w:w="4611" w:type="dxa"/>
            <w:vAlign w:val="center"/>
          </w:tcPr>
          <w:p w14:paraId="3BF5EC0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未采用TNS系统的</w:t>
            </w:r>
          </w:p>
        </w:tc>
        <w:tc>
          <w:tcPr>
            <w:tcW w:w="1560" w:type="dxa"/>
            <w:vAlign w:val="center"/>
          </w:tcPr>
          <w:p w14:paraId="1251C2D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B6FB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44D67BB">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58906BB">
            <w:pPr>
              <w:spacing w:line="400" w:lineRule="exact"/>
              <w:jc w:val="center"/>
              <w:rPr>
                <w:rFonts w:ascii="仿宋" w:hAnsi="仿宋" w:eastAsia="仿宋" w:cs="宋体"/>
                <w:color w:val="auto"/>
                <w:kern w:val="0"/>
                <w:sz w:val="20"/>
                <w:szCs w:val="21"/>
                <w:highlight w:val="none"/>
              </w:rPr>
            </w:pPr>
          </w:p>
        </w:tc>
        <w:tc>
          <w:tcPr>
            <w:tcW w:w="4611" w:type="dxa"/>
            <w:vAlign w:val="center"/>
          </w:tcPr>
          <w:p w14:paraId="3AFC2FC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专用保护零线设置不符合要求的</w:t>
            </w:r>
          </w:p>
        </w:tc>
        <w:tc>
          <w:tcPr>
            <w:tcW w:w="1560" w:type="dxa"/>
            <w:vAlign w:val="center"/>
          </w:tcPr>
          <w:p w14:paraId="5CAA077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28763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262EA4C">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DA494CC">
            <w:pPr>
              <w:spacing w:line="400" w:lineRule="exact"/>
              <w:jc w:val="center"/>
              <w:rPr>
                <w:rFonts w:ascii="仿宋" w:hAnsi="仿宋" w:eastAsia="仿宋" w:cs="宋体"/>
                <w:color w:val="auto"/>
                <w:kern w:val="0"/>
                <w:sz w:val="20"/>
                <w:szCs w:val="21"/>
                <w:highlight w:val="none"/>
              </w:rPr>
            </w:pPr>
          </w:p>
        </w:tc>
        <w:tc>
          <w:tcPr>
            <w:tcW w:w="4611" w:type="dxa"/>
            <w:vAlign w:val="center"/>
          </w:tcPr>
          <w:p w14:paraId="10AF746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保护零线与工作零线混接的</w:t>
            </w:r>
          </w:p>
        </w:tc>
        <w:tc>
          <w:tcPr>
            <w:tcW w:w="1560" w:type="dxa"/>
            <w:vAlign w:val="center"/>
          </w:tcPr>
          <w:p w14:paraId="37F6825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E6F2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5AAE9C9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41</w:t>
            </w:r>
          </w:p>
        </w:tc>
        <w:tc>
          <w:tcPr>
            <w:tcW w:w="1626" w:type="dxa"/>
            <w:vMerge w:val="restart"/>
            <w:vAlign w:val="center"/>
          </w:tcPr>
          <w:p w14:paraId="3A9C026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配电箱开关箱</w:t>
            </w:r>
          </w:p>
        </w:tc>
        <w:tc>
          <w:tcPr>
            <w:tcW w:w="4611" w:type="dxa"/>
            <w:vAlign w:val="center"/>
          </w:tcPr>
          <w:p w14:paraId="28C95E7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不符合“三级配电两级保护”要求的</w:t>
            </w:r>
          </w:p>
        </w:tc>
        <w:tc>
          <w:tcPr>
            <w:tcW w:w="1560" w:type="dxa"/>
            <w:vAlign w:val="center"/>
          </w:tcPr>
          <w:p w14:paraId="31E1E65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CD7E9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49F6B0F">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BDB0501">
            <w:pPr>
              <w:spacing w:line="400" w:lineRule="exact"/>
              <w:rPr>
                <w:rFonts w:ascii="仿宋" w:hAnsi="仿宋" w:eastAsia="仿宋" w:cs="宋体"/>
                <w:color w:val="auto"/>
                <w:kern w:val="0"/>
                <w:sz w:val="20"/>
                <w:szCs w:val="21"/>
                <w:highlight w:val="none"/>
              </w:rPr>
            </w:pPr>
          </w:p>
        </w:tc>
        <w:tc>
          <w:tcPr>
            <w:tcW w:w="4611" w:type="dxa"/>
            <w:vAlign w:val="center"/>
          </w:tcPr>
          <w:p w14:paraId="69E2F65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开关箱(末级)无漏电保护或保护器失灵的</w:t>
            </w:r>
          </w:p>
        </w:tc>
        <w:tc>
          <w:tcPr>
            <w:tcW w:w="1560" w:type="dxa"/>
            <w:vAlign w:val="center"/>
          </w:tcPr>
          <w:p w14:paraId="4A2A66D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5B66B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0B26BC5">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22A502B">
            <w:pPr>
              <w:spacing w:line="400" w:lineRule="exact"/>
              <w:jc w:val="center"/>
              <w:rPr>
                <w:rFonts w:ascii="仿宋" w:hAnsi="仿宋" w:eastAsia="仿宋" w:cs="宋体"/>
                <w:color w:val="auto"/>
                <w:kern w:val="0"/>
                <w:sz w:val="20"/>
                <w:szCs w:val="21"/>
                <w:highlight w:val="none"/>
              </w:rPr>
            </w:pPr>
          </w:p>
        </w:tc>
        <w:tc>
          <w:tcPr>
            <w:tcW w:w="4611" w:type="dxa"/>
            <w:vAlign w:val="center"/>
          </w:tcPr>
          <w:p w14:paraId="4CA5739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漏电保护装置参数不匹配的</w:t>
            </w:r>
          </w:p>
        </w:tc>
        <w:tc>
          <w:tcPr>
            <w:tcW w:w="1560" w:type="dxa"/>
            <w:vAlign w:val="center"/>
          </w:tcPr>
          <w:p w14:paraId="22BEB9A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6C9D2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F7C61F0">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9723CF6">
            <w:pPr>
              <w:spacing w:line="400" w:lineRule="exact"/>
              <w:jc w:val="center"/>
              <w:rPr>
                <w:rFonts w:ascii="仿宋" w:hAnsi="仿宋" w:eastAsia="仿宋" w:cs="宋体"/>
                <w:color w:val="auto"/>
                <w:kern w:val="0"/>
                <w:sz w:val="20"/>
                <w:szCs w:val="21"/>
                <w:highlight w:val="none"/>
              </w:rPr>
            </w:pPr>
          </w:p>
        </w:tc>
        <w:tc>
          <w:tcPr>
            <w:tcW w:w="4611" w:type="dxa"/>
            <w:vAlign w:val="center"/>
          </w:tcPr>
          <w:p w14:paraId="11C5F12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电箱内无隔离开关的</w:t>
            </w:r>
          </w:p>
        </w:tc>
        <w:tc>
          <w:tcPr>
            <w:tcW w:w="1560" w:type="dxa"/>
            <w:vAlign w:val="center"/>
          </w:tcPr>
          <w:p w14:paraId="1B6BAAC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FA13F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B87466F">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D9D1C43">
            <w:pPr>
              <w:spacing w:line="400" w:lineRule="exact"/>
              <w:jc w:val="center"/>
              <w:rPr>
                <w:rFonts w:ascii="仿宋" w:hAnsi="仿宋" w:eastAsia="仿宋" w:cs="宋体"/>
                <w:color w:val="auto"/>
                <w:kern w:val="0"/>
                <w:sz w:val="20"/>
                <w:szCs w:val="21"/>
                <w:highlight w:val="none"/>
              </w:rPr>
            </w:pPr>
          </w:p>
        </w:tc>
        <w:tc>
          <w:tcPr>
            <w:tcW w:w="4611" w:type="dxa"/>
            <w:vAlign w:val="center"/>
          </w:tcPr>
          <w:p w14:paraId="4AB4AE2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违反“一机、一闸、一漏、一箱”的</w:t>
            </w:r>
          </w:p>
        </w:tc>
        <w:tc>
          <w:tcPr>
            <w:tcW w:w="1560" w:type="dxa"/>
            <w:vAlign w:val="center"/>
          </w:tcPr>
          <w:p w14:paraId="6D0D962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DFA6A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98BD36B">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6345ECD">
            <w:pPr>
              <w:spacing w:line="400" w:lineRule="exact"/>
              <w:jc w:val="center"/>
              <w:rPr>
                <w:rFonts w:ascii="仿宋" w:hAnsi="仿宋" w:eastAsia="仿宋" w:cs="宋体"/>
                <w:color w:val="auto"/>
                <w:kern w:val="0"/>
                <w:sz w:val="20"/>
                <w:szCs w:val="21"/>
                <w:highlight w:val="none"/>
              </w:rPr>
            </w:pPr>
          </w:p>
        </w:tc>
        <w:tc>
          <w:tcPr>
            <w:tcW w:w="4611" w:type="dxa"/>
            <w:vAlign w:val="center"/>
          </w:tcPr>
          <w:p w14:paraId="45030EF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安装位置不当、周围杂物多等不便操作的</w:t>
            </w:r>
          </w:p>
        </w:tc>
        <w:tc>
          <w:tcPr>
            <w:tcW w:w="1560" w:type="dxa"/>
            <w:vAlign w:val="center"/>
          </w:tcPr>
          <w:p w14:paraId="235F911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129BE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6DEF910">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7CFAC93">
            <w:pPr>
              <w:spacing w:line="400" w:lineRule="exact"/>
              <w:jc w:val="center"/>
              <w:rPr>
                <w:rFonts w:ascii="仿宋" w:hAnsi="仿宋" w:eastAsia="仿宋" w:cs="宋体"/>
                <w:color w:val="auto"/>
                <w:kern w:val="0"/>
                <w:sz w:val="20"/>
                <w:szCs w:val="21"/>
                <w:highlight w:val="none"/>
              </w:rPr>
            </w:pPr>
          </w:p>
        </w:tc>
        <w:tc>
          <w:tcPr>
            <w:tcW w:w="4611" w:type="dxa"/>
            <w:vAlign w:val="center"/>
          </w:tcPr>
          <w:p w14:paraId="7077FB4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闸具损坏、闸具不符合要求的</w:t>
            </w:r>
          </w:p>
        </w:tc>
        <w:tc>
          <w:tcPr>
            <w:tcW w:w="1560" w:type="dxa"/>
            <w:vAlign w:val="center"/>
          </w:tcPr>
          <w:p w14:paraId="3D29D3C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510E4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9C459EE">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7C98E9D">
            <w:pPr>
              <w:spacing w:line="400" w:lineRule="exact"/>
              <w:jc w:val="center"/>
              <w:rPr>
                <w:rFonts w:ascii="仿宋" w:hAnsi="仿宋" w:eastAsia="仿宋" w:cs="宋体"/>
                <w:color w:val="auto"/>
                <w:kern w:val="0"/>
                <w:sz w:val="20"/>
                <w:szCs w:val="21"/>
                <w:highlight w:val="none"/>
              </w:rPr>
            </w:pPr>
          </w:p>
        </w:tc>
        <w:tc>
          <w:tcPr>
            <w:tcW w:w="4611" w:type="dxa"/>
            <w:vAlign w:val="center"/>
          </w:tcPr>
          <w:p w14:paraId="19E233E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配电箱内多路配电无标记的</w:t>
            </w:r>
          </w:p>
        </w:tc>
        <w:tc>
          <w:tcPr>
            <w:tcW w:w="1560" w:type="dxa"/>
            <w:vAlign w:val="center"/>
          </w:tcPr>
          <w:p w14:paraId="27D36E0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AF29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2DA65C1">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594C0C0">
            <w:pPr>
              <w:spacing w:line="400" w:lineRule="exact"/>
              <w:jc w:val="center"/>
              <w:rPr>
                <w:rFonts w:ascii="仿宋" w:hAnsi="仿宋" w:eastAsia="仿宋" w:cs="宋体"/>
                <w:color w:val="auto"/>
                <w:kern w:val="0"/>
                <w:sz w:val="20"/>
                <w:szCs w:val="21"/>
                <w:highlight w:val="none"/>
              </w:rPr>
            </w:pPr>
          </w:p>
        </w:tc>
        <w:tc>
          <w:tcPr>
            <w:tcW w:w="4611" w:type="dxa"/>
            <w:vAlign w:val="center"/>
          </w:tcPr>
          <w:p w14:paraId="4891886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电箱下引出线混乱的</w:t>
            </w:r>
          </w:p>
        </w:tc>
        <w:tc>
          <w:tcPr>
            <w:tcW w:w="1560" w:type="dxa"/>
            <w:vAlign w:val="center"/>
          </w:tcPr>
          <w:p w14:paraId="4ED9BE2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A13A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E638E6E">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B85B0CC">
            <w:pPr>
              <w:spacing w:line="400" w:lineRule="exact"/>
              <w:jc w:val="center"/>
              <w:rPr>
                <w:rFonts w:ascii="仿宋" w:hAnsi="仿宋" w:eastAsia="仿宋" w:cs="宋体"/>
                <w:color w:val="auto"/>
                <w:kern w:val="0"/>
                <w:sz w:val="20"/>
                <w:szCs w:val="21"/>
                <w:highlight w:val="none"/>
              </w:rPr>
            </w:pPr>
          </w:p>
        </w:tc>
        <w:tc>
          <w:tcPr>
            <w:tcW w:w="4611" w:type="dxa"/>
            <w:vAlign w:val="center"/>
          </w:tcPr>
          <w:p w14:paraId="216F670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电箱无门、无锁、无防雨措施的</w:t>
            </w:r>
          </w:p>
        </w:tc>
        <w:tc>
          <w:tcPr>
            <w:tcW w:w="1560" w:type="dxa"/>
            <w:vAlign w:val="center"/>
          </w:tcPr>
          <w:p w14:paraId="1B6E581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9BE0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4619CE9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42</w:t>
            </w:r>
          </w:p>
        </w:tc>
        <w:tc>
          <w:tcPr>
            <w:tcW w:w="1626" w:type="dxa"/>
            <w:vMerge w:val="restart"/>
            <w:vAlign w:val="center"/>
          </w:tcPr>
          <w:p w14:paraId="1A490EE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现场照明</w:t>
            </w:r>
          </w:p>
        </w:tc>
        <w:tc>
          <w:tcPr>
            <w:tcW w:w="4611" w:type="dxa"/>
            <w:vAlign w:val="center"/>
          </w:tcPr>
          <w:p w14:paraId="7CEA2FA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照明专用回路无漏电保护的</w:t>
            </w:r>
          </w:p>
        </w:tc>
        <w:tc>
          <w:tcPr>
            <w:tcW w:w="1560" w:type="dxa"/>
            <w:vAlign w:val="center"/>
          </w:tcPr>
          <w:p w14:paraId="43F9362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1D11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D5EEEEE">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608AF8E">
            <w:pPr>
              <w:spacing w:line="400" w:lineRule="exact"/>
              <w:jc w:val="center"/>
              <w:rPr>
                <w:rFonts w:ascii="仿宋" w:hAnsi="仿宋" w:eastAsia="仿宋" w:cs="宋体"/>
                <w:color w:val="auto"/>
                <w:kern w:val="0"/>
                <w:sz w:val="20"/>
                <w:szCs w:val="21"/>
                <w:highlight w:val="none"/>
              </w:rPr>
            </w:pPr>
          </w:p>
        </w:tc>
        <w:tc>
          <w:tcPr>
            <w:tcW w:w="4611" w:type="dxa"/>
            <w:vAlign w:val="center"/>
          </w:tcPr>
          <w:p w14:paraId="43C9AEC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灯具金属外壳未作接零保护的</w:t>
            </w:r>
          </w:p>
        </w:tc>
        <w:tc>
          <w:tcPr>
            <w:tcW w:w="1560" w:type="dxa"/>
            <w:vAlign w:val="center"/>
          </w:tcPr>
          <w:p w14:paraId="79D916E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B946D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A609244">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C4D2FF3">
            <w:pPr>
              <w:spacing w:line="400" w:lineRule="exact"/>
              <w:jc w:val="center"/>
              <w:rPr>
                <w:rFonts w:ascii="仿宋" w:hAnsi="仿宋" w:eastAsia="仿宋" w:cs="宋体"/>
                <w:color w:val="auto"/>
                <w:kern w:val="0"/>
                <w:sz w:val="20"/>
                <w:szCs w:val="21"/>
                <w:highlight w:val="none"/>
              </w:rPr>
            </w:pPr>
          </w:p>
        </w:tc>
        <w:tc>
          <w:tcPr>
            <w:tcW w:w="4611" w:type="dxa"/>
            <w:vAlign w:val="center"/>
          </w:tcPr>
          <w:p w14:paraId="46D0805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室内线路及灯具安装高度低于2.4m未使用安全电压供电的</w:t>
            </w:r>
          </w:p>
        </w:tc>
        <w:tc>
          <w:tcPr>
            <w:tcW w:w="1560" w:type="dxa"/>
            <w:vAlign w:val="center"/>
          </w:tcPr>
          <w:p w14:paraId="599370C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96D7A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7C872B9">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0F6D935">
            <w:pPr>
              <w:spacing w:line="400" w:lineRule="exact"/>
              <w:jc w:val="center"/>
              <w:rPr>
                <w:rFonts w:ascii="仿宋" w:hAnsi="仿宋" w:eastAsia="仿宋" w:cs="宋体"/>
                <w:color w:val="auto"/>
                <w:kern w:val="0"/>
                <w:sz w:val="20"/>
                <w:szCs w:val="21"/>
                <w:highlight w:val="none"/>
              </w:rPr>
            </w:pPr>
          </w:p>
        </w:tc>
        <w:tc>
          <w:tcPr>
            <w:tcW w:w="4611" w:type="dxa"/>
            <w:vAlign w:val="center"/>
          </w:tcPr>
          <w:p w14:paraId="246B727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潮湿作业未使用36以下安全电压的</w:t>
            </w:r>
          </w:p>
        </w:tc>
        <w:tc>
          <w:tcPr>
            <w:tcW w:w="1560" w:type="dxa"/>
            <w:vAlign w:val="center"/>
          </w:tcPr>
          <w:p w14:paraId="26F411E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6717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47501C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BC1E45E">
            <w:pPr>
              <w:spacing w:line="400" w:lineRule="exact"/>
              <w:jc w:val="center"/>
              <w:rPr>
                <w:rFonts w:ascii="仿宋" w:hAnsi="仿宋" w:eastAsia="仿宋" w:cs="宋体"/>
                <w:color w:val="auto"/>
                <w:kern w:val="0"/>
                <w:sz w:val="20"/>
                <w:szCs w:val="21"/>
                <w:highlight w:val="none"/>
              </w:rPr>
            </w:pPr>
          </w:p>
        </w:tc>
        <w:tc>
          <w:tcPr>
            <w:tcW w:w="4611" w:type="dxa"/>
            <w:vAlign w:val="center"/>
          </w:tcPr>
          <w:p w14:paraId="79AC7B0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使用36安全电压照明线路混乱和接头处未用绝缘布包扎的</w:t>
            </w:r>
          </w:p>
        </w:tc>
        <w:tc>
          <w:tcPr>
            <w:tcW w:w="1560" w:type="dxa"/>
            <w:vAlign w:val="center"/>
          </w:tcPr>
          <w:p w14:paraId="2824A2A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447C2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63276CD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43</w:t>
            </w:r>
          </w:p>
        </w:tc>
        <w:tc>
          <w:tcPr>
            <w:tcW w:w="1626" w:type="dxa"/>
            <w:vMerge w:val="restart"/>
            <w:vAlign w:val="center"/>
          </w:tcPr>
          <w:p w14:paraId="75B8025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配电线路</w:t>
            </w:r>
          </w:p>
        </w:tc>
        <w:tc>
          <w:tcPr>
            <w:tcW w:w="4611" w:type="dxa"/>
            <w:vAlign w:val="center"/>
          </w:tcPr>
          <w:p w14:paraId="434672A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电线老化、破皮未包扎的</w:t>
            </w:r>
          </w:p>
        </w:tc>
        <w:tc>
          <w:tcPr>
            <w:tcW w:w="1560" w:type="dxa"/>
            <w:vAlign w:val="center"/>
          </w:tcPr>
          <w:p w14:paraId="33AD939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0C0CE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0290443">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2CE1D19">
            <w:pPr>
              <w:spacing w:line="400" w:lineRule="exact"/>
              <w:jc w:val="center"/>
              <w:rPr>
                <w:rFonts w:ascii="仿宋" w:hAnsi="仿宋" w:eastAsia="仿宋" w:cs="宋体"/>
                <w:color w:val="auto"/>
                <w:kern w:val="0"/>
                <w:sz w:val="20"/>
                <w:szCs w:val="21"/>
                <w:highlight w:val="none"/>
              </w:rPr>
            </w:pPr>
          </w:p>
        </w:tc>
        <w:tc>
          <w:tcPr>
            <w:tcW w:w="4611" w:type="dxa"/>
            <w:vAlign w:val="center"/>
          </w:tcPr>
          <w:p w14:paraId="6952DA7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线路过道无保护的</w:t>
            </w:r>
          </w:p>
        </w:tc>
        <w:tc>
          <w:tcPr>
            <w:tcW w:w="1560" w:type="dxa"/>
            <w:vAlign w:val="center"/>
          </w:tcPr>
          <w:p w14:paraId="641F3DE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5B4D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3EEE9E8">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2705F6F">
            <w:pPr>
              <w:spacing w:line="400" w:lineRule="exact"/>
              <w:jc w:val="center"/>
              <w:rPr>
                <w:rFonts w:ascii="仿宋" w:hAnsi="仿宋" w:eastAsia="仿宋" w:cs="宋体"/>
                <w:color w:val="auto"/>
                <w:kern w:val="0"/>
                <w:sz w:val="20"/>
                <w:szCs w:val="21"/>
                <w:highlight w:val="none"/>
              </w:rPr>
            </w:pPr>
          </w:p>
        </w:tc>
        <w:tc>
          <w:tcPr>
            <w:tcW w:w="4611" w:type="dxa"/>
            <w:vAlign w:val="center"/>
          </w:tcPr>
          <w:p w14:paraId="188D1E2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电杆、横担不符合要求的</w:t>
            </w:r>
          </w:p>
        </w:tc>
        <w:tc>
          <w:tcPr>
            <w:tcW w:w="1560" w:type="dxa"/>
            <w:vAlign w:val="center"/>
          </w:tcPr>
          <w:p w14:paraId="4719B79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E8064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6215355">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564E906">
            <w:pPr>
              <w:spacing w:line="400" w:lineRule="exact"/>
              <w:jc w:val="center"/>
              <w:rPr>
                <w:rFonts w:ascii="仿宋" w:hAnsi="仿宋" w:eastAsia="仿宋" w:cs="宋体"/>
                <w:color w:val="auto"/>
                <w:kern w:val="0"/>
                <w:sz w:val="20"/>
                <w:szCs w:val="21"/>
                <w:highlight w:val="none"/>
              </w:rPr>
            </w:pPr>
          </w:p>
        </w:tc>
        <w:tc>
          <w:tcPr>
            <w:tcW w:w="4611" w:type="dxa"/>
            <w:vAlign w:val="center"/>
          </w:tcPr>
          <w:p w14:paraId="64FFE56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架空线路不符合要求的</w:t>
            </w:r>
          </w:p>
        </w:tc>
        <w:tc>
          <w:tcPr>
            <w:tcW w:w="1560" w:type="dxa"/>
            <w:vAlign w:val="center"/>
          </w:tcPr>
          <w:p w14:paraId="66862BA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EA059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F89273C">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88C70CE">
            <w:pPr>
              <w:spacing w:line="400" w:lineRule="exact"/>
              <w:jc w:val="center"/>
              <w:rPr>
                <w:rFonts w:ascii="仿宋" w:hAnsi="仿宋" w:eastAsia="仿宋" w:cs="宋体"/>
                <w:color w:val="auto"/>
                <w:kern w:val="0"/>
                <w:sz w:val="20"/>
                <w:szCs w:val="21"/>
                <w:highlight w:val="none"/>
              </w:rPr>
            </w:pPr>
          </w:p>
        </w:tc>
        <w:tc>
          <w:tcPr>
            <w:tcW w:w="4611" w:type="dxa"/>
            <w:vAlign w:val="center"/>
          </w:tcPr>
          <w:p w14:paraId="76F6F6A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未使用五芯线（电缆）的</w:t>
            </w:r>
          </w:p>
        </w:tc>
        <w:tc>
          <w:tcPr>
            <w:tcW w:w="1560" w:type="dxa"/>
            <w:vAlign w:val="center"/>
          </w:tcPr>
          <w:p w14:paraId="61BF2F6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5A54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4A9703D">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5F8492E">
            <w:pPr>
              <w:spacing w:line="400" w:lineRule="exact"/>
              <w:jc w:val="center"/>
              <w:rPr>
                <w:rFonts w:ascii="仿宋" w:hAnsi="仿宋" w:eastAsia="仿宋" w:cs="宋体"/>
                <w:color w:val="auto"/>
                <w:kern w:val="0"/>
                <w:sz w:val="20"/>
                <w:szCs w:val="21"/>
                <w:highlight w:val="none"/>
              </w:rPr>
            </w:pPr>
          </w:p>
        </w:tc>
        <w:tc>
          <w:tcPr>
            <w:tcW w:w="4611" w:type="dxa"/>
            <w:vAlign w:val="center"/>
          </w:tcPr>
          <w:p w14:paraId="0C99A53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使用四芯电统外加一根线替代五芯电的</w:t>
            </w:r>
          </w:p>
        </w:tc>
        <w:tc>
          <w:tcPr>
            <w:tcW w:w="1560" w:type="dxa"/>
            <w:vAlign w:val="center"/>
          </w:tcPr>
          <w:p w14:paraId="04652E1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9E2FC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7F0910C">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B8FBBF5">
            <w:pPr>
              <w:spacing w:line="400" w:lineRule="exact"/>
              <w:jc w:val="center"/>
              <w:rPr>
                <w:rFonts w:ascii="仿宋" w:hAnsi="仿宋" w:eastAsia="仿宋" w:cs="宋体"/>
                <w:color w:val="auto"/>
                <w:kern w:val="0"/>
                <w:sz w:val="20"/>
                <w:szCs w:val="21"/>
                <w:highlight w:val="none"/>
              </w:rPr>
            </w:pPr>
          </w:p>
        </w:tc>
        <w:tc>
          <w:tcPr>
            <w:tcW w:w="4611" w:type="dxa"/>
            <w:vAlign w:val="center"/>
          </w:tcPr>
          <w:p w14:paraId="5426F80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电缆架设或埋设不符合要求的</w:t>
            </w:r>
          </w:p>
        </w:tc>
        <w:tc>
          <w:tcPr>
            <w:tcW w:w="1560" w:type="dxa"/>
            <w:vAlign w:val="center"/>
          </w:tcPr>
          <w:p w14:paraId="7187886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5A732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778904A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44</w:t>
            </w:r>
          </w:p>
        </w:tc>
        <w:tc>
          <w:tcPr>
            <w:tcW w:w="1626" w:type="dxa"/>
            <w:vMerge w:val="restart"/>
            <w:vAlign w:val="center"/>
          </w:tcPr>
          <w:p w14:paraId="6D90DE1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用电档案</w:t>
            </w:r>
          </w:p>
        </w:tc>
        <w:tc>
          <w:tcPr>
            <w:tcW w:w="4611" w:type="dxa"/>
            <w:vAlign w:val="center"/>
          </w:tcPr>
          <w:p w14:paraId="2FFA0F8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无专项用电施工组织设计的</w:t>
            </w:r>
          </w:p>
        </w:tc>
        <w:tc>
          <w:tcPr>
            <w:tcW w:w="1560" w:type="dxa"/>
            <w:vAlign w:val="center"/>
          </w:tcPr>
          <w:p w14:paraId="3326CD6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7433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2742E04">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36FD40B">
            <w:pPr>
              <w:spacing w:line="400" w:lineRule="exact"/>
              <w:jc w:val="center"/>
              <w:rPr>
                <w:rFonts w:ascii="仿宋" w:hAnsi="仿宋" w:eastAsia="仿宋" w:cs="宋体"/>
                <w:color w:val="auto"/>
                <w:kern w:val="0"/>
                <w:sz w:val="20"/>
                <w:szCs w:val="21"/>
                <w:highlight w:val="none"/>
              </w:rPr>
            </w:pPr>
          </w:p>
        </w:tc>
        <w:tc>
          <w:tcPr>
            <w:tcW w:w="4611" w:type="dxa"/>
            <w:vAlign w:val="center"/>
          </w:tcPr>
          <w:p w14:paraId="4BDBE8D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无接地电阻测试记录的</w:t>
            </w:r>
          </w:p>
        </w:tc>
        <w:tc>
          <w:tcPr>
            <w:tcW w:w="1560" w:type="dxa"/>
            <w:vAlign w:val="center"/>
          </w:tcPr>
          <w:p w14:paraId="0E812D5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52A9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2B92CC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1173ABD">
            <w:pPr>
              <w:spacing w:line="400" w:lineRule="exact"/>
              <w:jc w:val="center"/>
              <w:rPr>
                <w:rFonts w:ascii="仿宋" w:hAnsi="仿宋" w:eastAsia="仿宋" w:cs="宋体"/>
                <w:color w:val="auto"/>
                <w:kern w:val="0"/>
                <w:sz w:val="20"/>
                <w:szCs w:val="21"/>
                <w:highlight w:val="none"/>
              </w:rPr>
            </w:pPr>
          </w:p>
        </w:tc>
        <w:tc>
          <w:tcPr>
            <w:tcW w:w="4611" w:type="dxa"/>
            <w:vAlign w:val="center"/>
          </w:tcPr>
          <w:p w14:paraId="21DE2A4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无电工巡视维修记录或填写不真实的</w:t>
            </w:r>
          </w:p>
        </w:tc>
        <w:tc>
          <w:tcPr>
            <w:tcW w:w="1560" w:type="dxa"/>
            <w:vAlign w:val="center"/>
          </w:tcPr>
          <w:p w14:paraId="7E2E296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0C11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03D84CB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施工机具</w:t>
            </w:r>
          </w:p>
        </w:tc>
      </w:tr>
      <w:tr w14:paraId="456926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01AF2A9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45</w:t>
            </w:r>
          </w:p>
        </w:tc>
        <w:tc>
          <w:tcPr>
            <w:tcW w:w="1626" w:type="dxa"/>
            <w:vMerge w:val="restart"/>
            <w:vAlign w:val="center"/>
          </w:tcPr>
          <w:p w14:paraId="10D9B13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盘电电锯</w:t>
            </w:r>
          </w:p>
        </w:tc>
        <w:tc>
          <w:tcPr>
            <w:tcW w:w="4611" w:type="dxa"/>
            <w:vAlign w:val="center"/>
          </w:tcPr>
          <w:p w14:paraId="6383ED8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无锯盘护罩、防护挡板安全装置和传动部位无防护</w:t>
            </w:r>
          </w:p>
        </w:tc>
        <w:tc>
          <w:tcPr>
            <w:tcW w:w="1560" w:type="dxa"/>
            <w:vAlign w:val="center"/>
          </w:tcPr>
          <w:p w14:paraId="55AD467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p w14:paraId="16AE6997">
            <w:pPr>
              <w:spacing w:line="400" w:lineRule="exact"/>
              <w:rPr>
                <w:rFonts w:ascii="仿宋" w:hAnsi="仿宋" w:eastAsia="仿宋" w:cs="宋体"/>
                <w:color w:val="auto"/>
                <w:kern w:val="0"/>
                <w:sz w:val="20"/>
                <w:szCs w:val="21"/>
                <w:highlight w:val="none"/>
              </w:rPr>
            </w:pPr>
          </w:p>
        </w:tc>
      </w:tr>
      <w:tr w14:paraId="0243AF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706C1AC">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4A2805E">
            <w:pPr>
              <w:spacing w:line="400" w:lineRule="exact"/>
              <w:jc w:val="center"/>
              <w:rPr>
                <w:rFonts w:ascii="仿宋" w:hAnsi="仿宋" w:eastAsia="仿宋" w:cs="宋体"/>
                <w:color w:val="auto"/>
                <w:kern w:val="0"/>
                <w:sz w:val="20"/>
                <w:szCs w:val="21"/>
                <w:highlight w:val="none"/>
              </w:rPr>
            </w:pPr>
          </w:p>
        </w:tc>
        <w:tc>
          <w:tcPr>
            <w:tcW w:w="4611" w:type="dxa"/>
            <w:vAlign w:val="center"/>
          </w:tcPr>
          <w:p w14:paraId="2E78A7F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未做保护接零、无漏电保护器的</w:t>
            </w:r>
          </w:p>
        </w:tc>
        <w:tc>
          <w:tcPr>
            <w:tcW w:w="1560" w:type="dxa"/>
            <w:vAlign w:val="center"/>
          </w:tcPr>
          <w:p w14:paraId="5F85A5C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225F5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F412161">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4BF1EBA">
            <w:pPr>
              <w:spacing w:line="400" w:lineRule="exact"/>
              <w:jc w:val="center"/>
              <w:rPr>
                <w:rFonts w:ascii="仿宋" w:hAnsi="仿宋" w:eastAsia="仿宋" w:cs="宋体"/>
                <w:color w:val="auto"/>
                <w:kern w:val="0"/>
                <w:sz w:val="20"/>
                <w:szCs w:val="21"/>
                <w:highlight w:val="none"/>
              </w:rPr>
            </w:pPr>
          </w:p>
        </w:tc>
        <w:tc>
          <w:tcPr>
            <w:tcW w:w="4611" w:type="dxa"/>
            <w:vAlign w:val="center"/>
          </w:tcPr>
          <w:p w14:paraId="61B2284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无人操作时未切断电源的</w:t>
            </w:r>
          </w:p>
        </w:tc>
        <w:tc>
          <w:tcPr>
            <w:tcW w:w="1560" w:type="dxa"/>
            <w:vAlign w:val="center"/>
          </w:tcPr>
          <w:p w14:paraId="50C368C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6EE28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3779228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46</w:t>
            </w:r>
          </w:p>
        </w:tc>
        <w:tc>
          <w:tcPr>
            <w:tcW w:w="1626" w:type="dxa"/>
            <w:vMerge w:val="restart"/>
            <w:vAlign w:val="center"/>
          </w:tcPr>
          <w:p w14:paraId="6E8E4ED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电焊机</w:t>
            </w:r>
          </w:p>
          <w:p w14:paraId="324AE1B8">
            <w:pPr>
              <w:spacing w:line="400" w:lineRule="exact"/>
              <w:jc w:val="center"/>
              <w:rPr>
                <w:rFonts w:ascii="仿宋" w:hAnsi="仿宋" w:eastAsia="仿宋" w:cs="宋体"/>
                <w:color w:val="auto"/>
                <w:kern w:val="0"/>
                <w:sz w:val="20"/>
                <w:szCs w:val="21"/>
                <w:highlight w:val="none"/>
              </w:rPr>
            </w:pPr>
          </w:p>
        </w:tc>
        <w:tc>
          <w:tcPr>
            <w:tcW w:w="4611" w:type="dxa"/>
            <w:vAlign w:val="center"/>
          </w:tcPr>
          <w:p w14:paraId="37FACFE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未做保护接零、无漏电保</w:t>
            </w:r>
            <w:bookmarkStart w:id="41" w:name="_GoBack"/>
            <w:bookmarkEnd w:id="41"/>
            <w:r>
              <w:rPr>
                <w:rFonts w:hint="eastAsia" w:ascii="仿宋" w:hAnsi="仿宋" w:eastAsia="仿宋" w:cs="宋体"/>
                <w:color w:val="auto"/>
                <w:kern w:val="0"/>
                <w:sz w:val="20"/>
                <w:szCs w:val="21"/>
                <w:highlight w:val="none"/>
              </w:rPr>
              <w:t>护器的</w:t>
            </w:r>
          </w:p>
        </w:tc>
        <w:tc>
          <w:tcPr>
            <w:tcW w:w="1560" w:type="dxa"/>
            <w:vAlign w:val="center"/>
          </w:tcPr>
          <w:p w14:paraId="7B77B1A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BC3E9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4E17275">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E58CA4A">
            <w:pPr>
              <w:spacing w:line="400" w:lineRule="exact"/>
              <w:jc w:val="center"/>
              <w:rPr>
                <w:rFonts w:ascii="仿宋" w:hAnsi="仿宋" w:eastAsia="仿宋" w:cs="宋体"/>
                <w:color w:val="auto"/>
                <w:kern w:val="0"/>
                <w:sz w:val="20"/>
                <w:szCs w:val="21"/>
                <w:highlight w:val="none"/>
              </w:rPr>
            </w:pPr>
          </w:p>
        </w:tc>
        <w:tc>
          <w:tcPr>
            <w:tcW w:w="4611" w:type="dxa"/>
            <w:vAlign w:val="center"/>
          </w:tcPr>
          <w:p w14:paraId="5EB6BFC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无二次空载降压保护器或无触电保护器的</w:t>
            </w:r>
          </w:p>
        </w:tc>
        <w:tc>
          <w:tcPr>
            <w:tcW w:w="1560" w:type="dxa"/>
            <w:vAlign w:val="center"/>
          </w:tcPr>
          <w:p w14:paraId="727B828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1583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969E00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5BDE61A">
            <w:pPr>
              <w:spacing w:line="400" w:lineRule="exact"/>
              <w:jc w:val="center"/>
              <w:rPr>
                <w:rFonts w:ascii="仿宋" w:hAnsi="仿宋" w:eastAsia="仿宋" w:cs="宋体"/>
                <w:color w:val="auto"/>
                <w:kern w:val="0"/>
                <w:sz w:val="20"/>
                <w:szCs w:val="21"/>
                <w:highlight w:val="none"/>
              </w:rPr>
            </w:pPr>
          </w:p>
        </w:tc>
        <w:tc>
          <w:tcPr>
            <w:tcW w:w="4611" w:type="dxa"/>
            <w:vAlign w:val="center"/>
          </w:tcPr>
          <w:p w14:paraId="5150459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电源不使用自动开关的</w:t>
            </w:r>
          </w:p>
        </w:tc>
        <w:tc>
          <w:tcPr>
            <w:tcW w:w="1560" w:type="dxa"/>
            <w:vAlign w:val="center"/>
          </w:tcPr>
          <w:p w14:paraId="0A873AB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0D26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52B8B0F">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996D00F">
            <w:pPr>
              <w:spacing w:line="400" w:lineRule="exact"/>
              <w:jc w:val="center"/>
              <w:rPr>
                <w:rFonts w:ascii="仿宋" w:hAnsi="仿宋" w:eastAsia="仿宋" w:cs="宋体"/>
                <w:color w:val="auto"/>
                <w:kern w:val="0"/>
                <w:sz w:val="20"/>
                <w:szCs w:val="21"/>
                <w:highlight w:val="none"/>
              </w:rPr>
            </w:pPr>
          </w:p>
        </w:tc>
        <w:tc>
          <w:tcPr>
            <w:tcW w:w="4611" w:type="dxa"/>
            <w:vAlign w:val="center"/>
          </w:tcPr>
          <w:p w14:paraId="2074683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焊把线接头超过3处或绝缘老化的</w:t>
            </w:r>
          </w:p>
        </w:tc>
        <w:tc>
          <w:tcPr>
            <w:tcW w:w="1560" w:type="dxa"/>
            <w:vAlign w:val="center"/>
          </w:tcPr>
          <w:p w14:paraId="78F8C7B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21A7D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1E38AE4">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521730B">
            <w:pPr>
              <w:spacing w:line="400" w:lineRule="exact"/>
              <w:jc w:val="center"/>
              <w:rPr>
                <w:rFonts w:ascii="仿宋" w:hAnsi="仿宋" w:eastAsia="仿宋" w:cs="宋体"/>
                <w:color w:val="auto"/>
                <w:kern w:val="0"/>
                <w:sz w:val="20"/>
                <w:szCs w:val="21"/>
                <w:highlight w:val="none"/>
              </w:rPr>
            </w:pPr>
          </w:p>
        </w:tc>
        <w:tc>
          <w:tcPr>
            <w:tcW w:w="4611" w:type="dxa"/>
            <w:vAlign w:val="center"/>
          </w:tcPr>
          <w:p w14:paraId="35D1D70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电焊机无防雨罩的</w:t>
            </w:r>
          </w:p>
        </w:tc>
        <w:tc>
          <w:tcPr>
            <w:tcW w:w="1560" w:type="dxa"/>
            <w:vAlign w:val="center"/>
          </w:tcPr>
          <w:p w14:paraId="1B1BED7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FAF6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26F7594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47</w:t>
            </w:r>
          </w:p>
        </w:tc>
        <w:tc>
          <w:tcPr>
            <w:tcW w:w="1626" w:type="dxa"/>
            <w:vMerge w:val="restart"/>
            <w:vAlign w:val="center"/>
          </w:tcPr>
          <w:p w14:paraId="2FE7BF4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气瓶</w:t>
            </w:r>
          </w:p>
        </w:tc>
        <w:tc>
          <w:tcPr>
            <w:tcW w:w="4611" w:type="dxa"/>
            <w:vAlign w:val="center"/>
          </w:tcPr>
          <w:p w14:paraId="50C1B9A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瓶间距小于50距明火小于10又无离措施的</w:t>
            </w:r>
          </w:p>
        </w:tc>
        <w:tc>
          <w:tcPr>
            <w:tcW w:w="1560" w:type="dxa"/>
            <w:vAlign w:val="center"/>
          </w:tcPr>
          <w:p w14:paraId="2CA0BA0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D1391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1A5B49E">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E63D238">
            <w:pPr>
              <w:spacing w:line="400" w:lineRule="exact"/>
              <w:jc w:val="center"/>
              <w:rPr>
                <w:rFonts w:ascii="仿宋" w:hAnsi="仿宋" w:eastAsia="仿宋" w:cs="宋体"/>
                <w:color w:val="auto"/>
                <w:kern w:val="0"/>
                <w:sz w:val="20"/>
                <w:szCs w:val="21"/>
                <w:highlight w:val="none"/>
              </w:rPr>
            </w:pPr>
          </w:p>
        </w:tc>
        <w:tc>
          <w:tcPr>
            <w:tcW w:w="4611" w:type="dxa"/>
            <w:vAlign w:val="center"/>
          </w:tcPr>
          <w:p w14:paraId="13289F3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乙炔瓶使用或存放时平放的</w:t>
            </w:r>
          </w:p>
        </w:tc>
        <w:tc>
          <w:tcPr>
            <w:tcW w:w="1560" w:type="dxa"/>
            <w:vAlign w:val="center"/>
          </w:tcPr>
          <w:p w14:paraId="00CB0FF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D8479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736F472">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AD2AEEF">
            <w:pPr>
              <w:spacing w:line="400" w:lineRule="exact"/>
              <w:jc w:val="center"/>
              <w:rPr>
                <w:rFonts w:ascii="仿宋" w:hAnsi="仿宋" w:eastAsia="仿宋" w:cs="宋体"/>
                <w:color w:val="auto"/>
                <w:kern w:val="0"/>
                <w:sz w:val="20"/>
                <w:szCs w:val="21"/>
                <w:highlight w:val="none"/>
              </w:rPr>
            </w:pPr>
          </w:p>
        </w:tc>
        <w:tc>
          <w:tcPr>
            <w:tcW w:w="4611" w:type="dxa"/>
            <w:vAlign w:val="center"/>
          </w:tcPr>
          <w:p w14:paraId="33E321C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气瓶存放不符合要求的</w:t>
            </w:r>
          </w:p>
        </w:tc>
        <w:tc>
          <w:tcPr>
            <w:tcW w:w="1560" w:type="dxa"/>
            <w:vAlign w:val="center"/>
          </w:tcPr>
          <w:p w14:paraId="6E63D5A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DC404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1104D93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塔吊</w:t>
            </w:r>
          </w:p>
        </w:tc>
      </w:tr>
      <w:tr w14:paraId="78C5C6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029848D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48</w:t>
            </w:r>
          </w:p>
        </w:tc>
        <w:tc>
          <w:tcPr>
            <w:tcW w:w="1626" w:type="dxa"/>
            <w:vMerge w:val="restart"/>
            <w:vAlign w:val="center"/>
          </w:tcPr>
          <w:p w14:paraId="7CAA46C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力矩限制器</w:t>
            </w:r>
          </w:p>
        </w:tc>
        <w:tc>
          <w:tcPr>
            <w:tcW w:w="4611" w:type="dxa"/>
            <w:vAlign w:val="center"/>
          </w:tcPr>
          <w:p w14:paraId="48B6F9C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无力矩限制器的</w:t>
            </w:r>
          </w:p>
        </w:tc>
        <w:tc>
          <w:tcPr>
            <w:tcW w:w="1560" w:type="dxa"/>
            <w:vAlign w:val="center"/>
          </w:tcPr>
          <w:p w14:paraId="2EA4227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2C106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64B5E02">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A054EDD">
            <w:pPr>
              <w:spacing w:line="400" w:lineRule="exact"/>
              <w:jc w:val="center"/>
              <w:rPr>
                <w:rFonts w:ascii="仿宋" w:hAnsi="仿宋" w:eastAsia="仿宋" w:cs="宋体"/>
                <w:color w:val="auto"/>
                <w:kern w:val="0"/>
                <w:sz w:val="20"/>
                <w:szCs w:val="21"/>
                <w:highlight w:val="none"/>
              </w:rPr>
            </w:pPr>
          </w:p>
        </w:tc>
        <w:tc>
          <w:tcPr>
            <w:tcW w:w="4611" w:type="dxa"/>
            <w:vAlign w:val="center"/>
          </w:tcPr>
          <w:p w14:paraId="64EC589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力矩限制器不灵敏的</w:t>
            </w:r>
          </w:p>
        </w:tc>
        <w:tc>
          <w:tcPr>
            <w:tcW w:w="1560" w:type="dxa"/>
            <w:vAlign w:val="center"/>
          </w:tcPr>
          <w:p w14:paraId="056F49A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65583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50F51C2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49</w:t>
            </w:r>
          </w:p>
        </w:tc>
        <w:tc>
          <w:tcPr>
            <w:tcW w:w="1626" w:type="dxa"/>
            <w:vMerge w:val="restart"/>
            <w:vAlign w:val="center"/>
          </w:tcPr>
          <w:p w14:paraId="46BDC7F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限位器</w:t>
            </w:r>
          </w:p>
        </w:tc>
        <w:tc>
          <w:tcPr>
            <w:tcW w:w="4611" w:type="dxa"/>
            <w:vAlign w:val="center"/>
          </w:tcPr>
          <w:p w14:paraId="702A718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无超高、变幅、行走限位的</w:t>
            </w:r>
          </w:p>
        </w:tc>
        <w:tc>
          <w:tcPr>
            <w:tcW w:w="1560" w:type="dxa"/>
            <w:vAlign w:val="center"/>
          </w:tcPr>
          <w:p w14:paraId="386A91B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3FFB4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819E45E">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430557B">
            <w:pPr>
              <w:spacing w:line="400" w:lineRule="exact"/>
              <w:jc w:val="center"/>
              <w:rPr>
                <w:rFonts w:ascii="仿宋" w:hAnsi="仿宋" w:eastAsia="仿宋" w:cs="宋体"/>
                <w:color w:val="auto"/>
                <w:kern w:val="0"/>
                <w:sz w:val="20"/>
                <w:szCs w:val="21"/>
                <w:highlight w:val="none"/>
              </w:rPr>
            </w:pPr>
          </w:p>
        </w:tc>
        <w:tc>
          <w:tcPr>
            <w:tcW w:w="4611" w:type="dxa"/>
            <w:vAlign w:val="center"/>
          </w:tcPr>
          <w:p w14:paraId="667D984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限位器不灵敏的</w:t>
            </w:r>
          </w:p>
        </w:tc>
        <w:tc>
          <w:tcPr>
            <w:tcW w:w="1560" w:type="dxa"/>
            <w:vAlign w:val="center"/>
          </w:tcPr>
          <w:p w14:paraId="2DDF2DE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020AF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3D9479A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w:t>
            </w:r>
          </w:p>
        </w:tc>
        <w:tc>
          <w:tcPr>
            <w:tcW w:w="1626" w:type="dxa"/>
            <w:vMerge w:val="restart"/>
            <w:vAlign w:val="center"/>
          </w:tcPr>
          <w:p w14:paraId="323AC8D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保险装置</w:t>
            </w:r>
          </w:p>
        </w:tc>
        <w:tc>
          <w:tcPr>
            <w:tcW w:w="4611" w:type="dxa"/>
            <w:vAlign w:val="center"/>
          </w:tcPr>
          <w:p w14:paraId="65E9218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吊钩无保险装置的</w:t>
            </w:r>
          </w:p>
        </w:tc>
        <w:tc>
          <w:tcPr>
            <w:tcW w:w="1560" w:type="dxa"/>
            <w:vAlign w:val="center"/>
          </w:tcPr>
          <w:p w14:paraId="7AA8F12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DB969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B52BC4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7C28BB1">
            <w:pPr>
              <w:spacing w:line="400" w:lineRule="exact"/>
              <w:jc w:val="center"/>
              <w:rPr>
                <w:rFonts w:ascii="仿宋" w:hAnsi="仿宋" w:eastAsia="仿宋" w:cs="宋体"/>
                <w:color w:val="auto"/>
                <w:kern w:val="0"/>
                <w:sz w:val="20"/>
                <w:szCs w:val="21"/>
                <w:highlight w:val="none"/>
              </w:rPr>
            </w:pPr>
          </w:p>
        </w:tc>
        <w:tc>
          <w:tcPr>
            <w:tcW w:w="4611" w:type="dxa"/>
            <w:vAlign w:val="center"/>
          </w:tcPr>
          <w:p w14:paraId="6D3A950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卷扬机滚筒无保险装置的</w:t>
            </w:r>
          </w:p>
        </w:tc>
        <w:tc>
          <w:tcPr>
            <w:tcW w:w="1560" w:type="dxa"/>
            <w:vAlign w:val="center"/>
          </w:tcPr>
          <w:p w14:paraId="78DDB6B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BD70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C747DD3">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F1F1103">
            <w:pPr>
              <w:spacing w:line="400" w:lineRule="exact"/>
              <w:jc w:val="center"/>
              <w:rPr>
                <w:rFonts w:ascii="仿宋" w:hAnsi="仿宋" w:eastAsia="仿宋" w:cs="宋体"/>
                <w:color w:val="auto"/>
                <w:kern w:val="0"/>
                <w:sz w:val="20"/>
                <w:szCs w:val="21"/>
                <w:highlight w:val="none"/>
              </w:rPr>
            </w:pPr>
          </w:p>
        </w:tc>
        <w:tc>
          <w:tcPr>
            <w:tcW w:w="4611" w:type="dxa"/>
            <w:vAlign w:val="center"/>
          </w:tcPr>
          <w:p w14:paraId="6FA2B75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上人爬梯无护圈或护圖不符合要求</w:t>
            </w:r>
          </w:p>
        </w:tc>
        <w:tc>
          <w:tcPr>
            <w:tcW w:w="1560" w:type="dxa"/>
            <w:vAlign w:val="center"/>
          </w:tcPr>
          <w:p w14:paraId="49125C2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1B3B2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7FD59AA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51</w:t>
            </w:r>
          </w:p>
        </w:tc>
        <w:tc>
          <w:tcPr>
            <w:tcW w:w="1626" w:type="dxa"/>
            <w:vMerge w:val="restart"/>
            <w:vAlign w:val="center"/>
          </w:tcPr>
          <w:p w14:paraId="43B89DD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附墙装置与夹轨钳</w:t>
            </w:r>
          </w:p>
        </w:tc>
        <w:tc>
          <w:tcPr>
            <w:tcW w:w="4611" w:type="dxa"/>
            <w:vAlign w:val="center"/>
          </w:tcPr>
          <w:p w14:paraId="6BB3457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塔吊高度超过规定不安装附墙装置的</w:t>
            </w:r>
          </w:p>
        </w:tc>
        <w:tc>
          <w:tcPr>
            <w:tcW w:w="1560" w:type="dxa"/>
            <w:vAlign w:val="center"/>
          </w:tcPr>
          <w:p w14:paraId="59604C1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6D0A2A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807C56D">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83DEDA9">
            <w:pPr>
              <w:spacing w:line="400" w:lineRule="exact"/>
              <w:jc w:val="center"/>
              <w:rPr>
                <w:rFonts w:ascii="仿宋" w:hAnsi="仿宋" w:eastAsia="仿宋" w:cs="宋体"/>
                <w:color w:val="auto"/>
                <w:kern w:val="0"/>
                <w:sz w:val="20"/>
                <w:szCs w:val="21"/>
                <w:highlight w:val="none"/>
              </w:rPr>
            </w:pPr>
          </w:p>
        </w:tc>
        <w:tc>
          <w:tcPr>
            <w:tcW w:w="4611" w:type="dxa"/>
            <w:vAlign w:val="center"/>
          </w:tcPr>
          <w:p w14:paraId="253C7A3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附墙装置安装不符合说明书要求的</w:t>
            </w:r>
          </w:p>
        </w:tc>
        <w:tc>
          <w:tcPr>
            <w:tcW w:w="1560" w:type="dxa"/>
            <w:vAlign w:val="center"/>
          </w:tcPr>
          <w:p w14:paraId="0DA74C0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B250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8B21939">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24C9F075">
            <w:pPr>
              <w:spacing w:line="400" w:lineRule="exact"/>
              <w:jc w:val="center"/>
              <w:rPr>
                <w:rFonts w:ascii="仿宋" w:hAnsi="仿宋" w:eastAsia="仿宋" w:cs="宋体"/>
                <w:color w:val="auto"/>
                <w:kern w:val="0"/>
                <w:sz w:val="20"/>
                <w:szCs w:val="21"/>
                <w:highlight w:val="none"/>
              </w:rPr>
            </w:pPr>
          </w:p>
        </w:tc>
        <w:tc>
          <w:tcPr>
            <w:tcW w:w="4611" w:type="dxa"/>
            <w:vAlign w:val="center"/>
          </w:tcPr>
          <w:p w14:paraId="2F79C38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无夹轨钳的</w:t>
            </w:r>
          </w:p>
        </w:tc>
        <w:tc>
          <w:tcPr>
            <w:tcW w:w="1560" w:type="dxa"/>
            <w:vAlign w:val="center"/>
          </w:tcPr>
          <w:p w14:paraId="6EE7B9F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871C1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0756A04">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B381CEC">
            <w:pPr>
              <w:spacing w:line="400" w:lineRule="exact"/>
              <w:jc w:val="center"/>
              <w:rPr>
                <w:rFonts w:ascii="仿宋" w:hAnsi="仿宋" w:eastAsia="仿宋" w:cs="宋体"/>
                <w:color w:val="auto"/>
                <w:kern w:val="0"/>
                <w:sz w:val="20"/>
                <w:szCs w:val="21"/>
                <w:highlight w:val="none"/>
              </w:rPr>
            </w:pPr>
          </w:p>
        </w:tc>
        <w:tc>
          <w:tcPr>
            <w:tcW w:w="4611" w:type="dxa"/>
            <w:vAlign w:val="center"/>
          </w:tcPr>
          <w:p w14:paraId="7343B04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有夹轨钳不用的</w:t>
            </w:r>
          </w:p>
        </w:tc>
        <w:tc>
          <w:tcPr>
            <w:tcW w:w="1560" w:type="dxa"/>
            <w:vAlign w:val="center"/>
          </w:tcPr>
          <w:p w14:paraId="59AB0CE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E1EAD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6683471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52</w:t>
            </w:r>
          </w:p>
        </w:tc>
        <w:tc>
          <w:tcPr>
            <w:tcW w:w="1626" w:type="dxa"/>
            <w:vMerge w:val="restart"/>
            <w:vAlign w:val="center"/>
          </w:tcPr>
          <w:p w14:paraId="713634D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安装与拆卸</w:t>
            </w:r>
          </w:p>
        </w:tc>
        <w:tc>
          <w:tcPr>
            <w:tcW w:w="4611" w:type="dxa"/>
            <w:vAlign w:val="center"/>
          </w:tcPr>
          <w:p w14:paraId="3EA56E1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未制定安装拆卸方案的</w:t>
            </w:r>
          </w:p>
        </w:tc>
        <w:tc>
          <w:tcPr>
            <w:tcW w:w="1560" w:type="dxa"/>
            <w:vAlign w:val="center"/>
          </w:tcPr>
          <w:p w14:paraId="3004377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EA5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C4B91FD">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7598B59">
            <w:pPr>
              <w:spacing w:line="400" w:lineRule="exact"/>
              <w:jc w:val="center"/>
              <w:rPr>
                <w:rFonts w:ascii="仿宋" w:hAnsi="仿宋" w:eastAsia="仿宋" w:cs="宋体"/>
                <w:color w:val="auto"/>
                <w:kern w:val="0"/>
                <w:sz w:val="20"/>
                <w:szCs w:val="21"/>
                <w:highlight w:val="none"/>
              </w:rPr>
            </w:pPr>
          </w:p>
        </w:tc>
        <w:tc>
          <w:tcPr>
            <w:tcW w:w="4611" w:type="dxa"/>
            <w:vAlign w:val="center"/>
          </w:tcPr>
          <w:p w14:paraId="1CCBFA0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作业队伍没有取得资格证的</w:t>
            </w:r>
          </w:p>
        </w:tc>
        <w:tc>
          <w:tcPr>
            <w:tcW w:w="1560" w:type="dxa"/>
            <w:vAlign w:val="center"/>
          </w:tcPr>
          <w:p w14:paraId="2F72947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200元/人/次</w:t>
            </w:r>
          </w:p>
        </w:tc>
      </w:tr>
      <w:tr w14:paraId="42CF8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562B534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53</w:t>
            </w:r>
          </w:p>
        </w:tc>
        <w:tc>
          <w:tcPr>
            <w:tcW w:w="1626" w:type="dxa"/>
            <w:vMerge w:val="restart"/>
            <w:vAlign w:val="center"/>
          </w:tcPr>
          <w:p w14:paraId="486EA47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塔吊指挥</w:t>
            </w:r>
          </w:p>
        </w:tc>
        <w:tc>
          <w:tcPr>
            <w:tcW w:w="4611" w:type="dxa"/>
            <w:vAlign w:val="center"/>
          </w:tcPr>
          <w:p w14:paraId="62A6783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司机无证上岗的</w:t>
            </w:r>
          </w:p>
        </w:tc>
        <w:tc>
          <w:tcPr>
            <w:tcW w:w="1560" w:type="dxa"/>
            <w:vAlign w:val="center"/>
          </w:tcPr>
          <w:p w14:paraId="133758E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1000元/人/次</w:t>
            </w:r>
          </w:p>
        </w:tc>
      </w:tr>
      <w:tr w14:paraId="2A4E6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7A96D55">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3DDD819">
            <w:pPr>
              <w:spacing w:line="400" w:lineRule="exact"/>
              <w:jc w:val="center"/>
              <w:rPr>
                <w:rFonts w:ascii="仿宋" w:hAnsi="仿宋" w:eastAsia="仿宋" w:cs="宋体"/>
                <w:color w:val="auto"/>
                <w:kern w:val="0"/>
                <w:sz w:val="20"/>
                <w:szCs w:val="21"/>
                <w:highlight w:val="none"/>
              </w:rPr>
            </w:pPr>
          </w:p>
        </w:tc>
        <w:tc>
          <w:tcPr>
            <w:tcW w:w="4611" w:type="dxa"/>
            <w:vAlign w:val="center"/>
          </w:tcPr>
          <w:p w14:paraId="3D44FB9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指挥无证上岗的</w:t>
            </w:r>
          </w:p>
        </w:tc>
        <w:tc>
          <w:tcPr>
            <w:tcW w:w="1560" w:type="dxa"/>
            <w:vAlign w:val="center"/>
          </w:tcPr>
          <w:p w14:paraId="60C967C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1000元/人/次</w:t>
            </w:r>
          </w:p>
        </w:tc>
      </w:tr>
      <w:tr w14:paraId="39655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55E25AE">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5FA25E3">
            <w:pPr>
              <w:spacing w:line="400" w:lineRule="exact"/>
              <w:jc w:val="center"/>
              <w:rPr>
                <w:rFonts w:ascii="仿宋" w:hAnsi="仿宋" w:eastAsia="仿宋" w:cs="宋体"/>
                <w:color w:val="auto"/>
                <w:kern w:val="0"/>
                <w:sz w:val="20"/>
                <w:szCs w:val="21"/>
                <w:highlight w:val="none"/>
              </w:rPr>
            </w:pPr>
          </w:p>
        </w:tc>
        <w:tc>
          <w:tcPr>
            <w:tcW w:w="4611" w:type="dxa"/>
            <w:vAlign w:val="center"/>
          </w:tcPr>
          <w:p w14:paraId="037C3F5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高塔指挥不使用旗语或对讲机的</w:t>
            </w:r>
          </w:p>
        </w:tc>
        <w:tc>
          <w:tcPr>
            <w:tcW w:w="1560" w:type="dxa"/>
            <w:vAlign w:val="center"/>
          </w:tcPr>
          <w:p w14:paraId="1DA575D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3BF8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279834B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54</w:t>
            </w:r>
          </w:p>
        </w:tc>
        <w:tc>
          <w:tcPr>
            <w:tcW w:w="1626" w:type="dxa"/>
            <w:vMerge w:val="restart"/>
            <w:vAlign w:val="center"/>
          </w:tcPr>
          <w:p w14:paraId="258AA2C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多塔作业</w:t>
            </w:r>
          </w:p>
        </w:tc>
        <w:tc>
          <w:tcPr>
            <w:tcW w:w="4611" w:type="dxa"/>
            <w:vAlign w:val="center"/>
          </w:tcPr>
          <w:p w14:paraId="4332CA5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两台以上塔吊作业、无防碰撞措施的</w:t>
            </w:r>
          </w:p>
        </w:tc>
        <w:tc>
          <w:tcPr>
            <w:tcW w:w="1560" w:type="dxa"/>
            <w:vAlign w:val="center"/>
          </w:tcPr>
          <w:p w14:paraId="03ED52E7">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607EDD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7BCEFF5">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CF7F3B1">
            <w:pPr>
              <w:spacing w:line="400" w:lineRule="exact"/>
              <w:jc w:val="center"/>
              <w:rPr>
                <w:rFonts w:ascii="仿宋" w:hAnsi="仿宋" w:eastAsia="仿宋" w:cs="宋体"/>
                <w:color w:val="auto"/>
                <w:kern w:val="0"/>
                <w:sz w:val="20"/>
                <w:szCs w:val="21"/>
                <w:highlight w:val="none"/>
              </w:rPr>
            </w:pPr>
          </w:p>
        </w:tc>
        <w:tc>
          <w:tcPr>
            <w:tcW w:w="4611" w:type="dxa"/>
            <w:vAlign w:val="center"/>
          </w:tcPr>
          <w:p w14:paraId="770FAC9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措施不可靠的</w:t>
            </w:r>
          </w:p>
        </w:tc>
        <w:tc>
          <w:tcPr>
            <w:tcW w:w="1560" w:type="dxa"/>
            <w:vAlign w:val="center"/>
          </w:tcPr>
          <w:p w14:paraId="4891B4D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11DA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2D6FFB4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55</w:t>
            </w:r>
          </w:p>
        </w:tc>
        <w:tc>
          <w:tcPr>
            <w:tcW w:w="1626" w:type="dxa"/>
            <w:vMerge w:val="restart"/>
            <w:vAlign w:val="center"/>
          </w:tcPr>
          <w:p w14:paraId="19A21A7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安装验收</w:t>
            </w:r>
          </w:p>
        </w:tc>
        <w:tc>
          <w:tcPr>
            <w:tcW w:w="4611" w:type="dxa"/>
            <w:vAlign w:val="center"/>
          </w:tcPr>
          <w:p w14:paraId="1A68E31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安装完毕无验收资料或责任人签字的</w:t>
            </w:r>
          </w:p>
        </w:tc>
        <w:tc>
          <w:tcPr>
            <w:tcW w:w="1560" w:type="dxa"/>
            <w:vAlign w:val="center"/>
          </w:tcPr>
          <w:p w14:paraId="60A3D88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BF7D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F72DA88">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10AA16D">
            <w:pPr>
              <w:spacing w:line="400" w:lineRule="exact"/>
              <w:jc w:val="center"/>
              <w:rPr>
                <w:rFonts w:ascii="仿宋" w:hAnsi="仿宋" w:eastAsia="仿宋" w:cs="宋体"/>
                <w:color w:val="auto"/>
                <w:kern w:val="0"/>
                <w:sz w:val="20"/>
                <w:szCs w:val="21"/>
                <w:highlight w:val="none"/>
              </w:rPr>
            </w:pPr>
          </w:p>
        </w:tc>
        <w:tc>
          <w:tcPr>
            <w:tcW w:w="4611" w:type="dxa"/>
            <w:vAlign w:val="center"/>
          </w:tcPr>
          <w:p w14:paraId="729E28E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验收单上无量化验收内容的</w:t>
            </w:r>
          </w:p>
        </w:tc>
        <w:tc>
          <w:tcPr>
            <w:tcW w:w="1560" w:type="dxa"/>
            <w:vAlign w:val="center"/>
          </w:tcPr>
          <w:p w14:paraId="306C018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83C79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0C2EF33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56</w:t>
            </w:r>
          </w:p>
        </w:tc>
        <w:tc>
          <w:tcPr>
            <w:tcW w:w="1626" w:type="dxa"/>
            <w:vAlign w:val="center"/>
          </w:tcPr>
          <w:p w14:paraId="1CA9D2B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维保记录</w:t>
            </w:r>
          </w:p>
        </w:tc>
        <w:tc>
          <w:tcPr>
            <w:tcW w:w="4611" w:type="dxa"/>
            <w:vAlign w:val="center"/>
          </w:tcPr>
          <w:p w14:paraId="3A29363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没定期进行维修保养</w:t>
            </w:r>
          </w:p>
        </w:tc>
        <w:tc>
          <w:tcPr>
            <w:tcW w:w="1560" w:type="dxa"/>
            <w:vAlign w:val="center"/>
          </w:tcPr>
          <w:p w14:paraId="32120F5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每项200元/次</w:t>
            </w:r>
          </w:p>
        </w:tc>
      </w:tr>
      <w:tr w14:paraId="072BA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6A1119E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外用电梯</w:t>
            </w:r>
          </w:p>
        </w:tc>
      </w:tr>
      <w:tr w14:paraId="6C7364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0199901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57</w:t>
            </w:r>
          </w:p>
        </w:tc>
        <w:tc>
          <w:tcPr>
            <w:tcW w:w="1626" w:type="dxa"/>
            <w:vMerge w:val="restart"/>
            <w:vAlign w:val="center"/>
          </w:tcPr>
          <w:p w14:paraId="7C67C4C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安全装置</w:t>
            </w:r>
          </w:p>
        </w:tc>
        <w:tc>
          <w:tcPr>
            <w:tcW w:w="4611" w:type="dxa"/>
            <w:vAlign w:val="center"/>
          </w:tcPr>
          <w:p w14:paraId="2ECBA5D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梯笼安全装置未经实验或不灵敏的</w:t>
            </w:r>
          </w:p>
        </w:tc>
        <w:tc>
          <w:tcPr>
            <w:tcW w:w="1560" w:type="dxa"/>
            <w:vAlign w:val="center"/>
          </w:tcPr>
          <w:p w14:paraId="6623C8D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0415C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D8D91F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0A0144AD">
            <w:pPr>
              <w:spacing w:line="400" w:lineRule="exact"/>
              <w:jc w:val="center"/>
              <w:rPr>
                <w:rFonts w:ascii="仿宋" w:hAnsi="仿宋" w:eastAsia="仿宋" w:cs="宋体"/>
                <w:color w:val="auto"/>
                <w:kern w:val="0"/>
                <w:sz w:val="20"/>
                <w:szCs w:val="21"/>
                <w:highlight w:val="none"/>
              </w:rPr>
            </w:pPr>
          </w:p>
        </w:tc>
        <w:tc>
          <w:tcPr>
            <w:tcW w:w="4611" w:type="dxa"/>
            <w:vAlign w:val="center"/>
          </w:tcPr>
          <w:p w14:paraId="0CAAB02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门连锁装置不起作用的</w:t>
            </w:r>
          </w:p>
        </w:tc>
        <w:tc>
          <w:tcPr>
            <w:tcW w:w="1560" w:type="dxa"/>
            <w:vAlign w:val="center"/>
          </w:tcPr>
          <w:p w14:paraId="55E90D9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C9F0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7635F6F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58</w:t>
            </w:r>
          </w:p>
        </w:tc>
        <w:tc>
          <w:tcPr>
            <w:tcW w:w="1626" w:type="dxa"/>
            <w:vMerge w:val="restart"/>
            <w:vAlign w:val="center"/>
          </w:tcPr>
          <w:p w14:paraId="45713224">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安全防护</w:t>
            </w:r>
          </w:p>
        </w:tc>
        <w:tc>
          <w:tcPr>
            <w:tcW w:w="4611" w:type="dxa"/>
            <w:vAlign w:val="center"/>
          </w:tcPr>
          <w:p w14:paraId="1B2B265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地面吊笼出入无防护棚的</w:t>
            </w:r>
          </w:p>
        </w:tc>
        <w:tc>
          <w:tcPr>
            <w:tcW w:w="1560" w:type="dxa"/>
            <w:vAlign w:val="center"/>
          </w:tcPr>
          <w:p w14:paraId="5180ED3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6897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8A02728">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2404816">
            <w:pPr>
              <w:spacing w:line="400" w:lineRule="exact"/>
              <w:jc w:val="center"/>
              <w:rPr>
                <w:rFonts w:ascii="仿宋" w:hAnsi="仿宋" w:eastAsia="仿宋" w:cs="宋体"/>
                <w:color w:val="auto"/>
                <w:kern w:val="0"/>
                <w:sz w:val="20"/>
                <w:szCs w:val="21"/>
                <w:highlight w:val="none"/>
              </w:rPr>
            </w:pPr>
          </w:p>
        </w:tc>
        <w:tc>
          <w:tcPr>
            <w:tcW w:w="4611" w:type="dxa"/>
            <w:vAlign w:val="center"/>
          </w:tcPr>
          <w:p w14:paraId="56763EF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防护棚材质搭设不符合要求的</w:t>
            </w:r>
          </w:p>
        </w:tc>
        <w:tc>
          <w:tcPr>
            <w:tcW w:w="1560" w:type="dxa"/>
            <w:vAlign w:val="center"/>
          </w:tcPr>
          <w:p w14:paraId="0AA3373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2D5F4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6520816">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8206DAB">
            <w:pPr>
              <w:spacing w:line="400" w:lineRule="exact"/>
              <w:jc w:val="center"/>
              <w:rPr>
                <w:rFonts w:ascii="仿宋" w:hAnsi="仿宋" w:eastAsia="仿宋" w:cs="宋体"/>
                <w:color w:val="auto"/>
                <w:kern w:val="0"/>
                <w:sz w:val="20"/>
                <w:szCs w:val="21"/>
                <w:highlight w:val="none"/>
              </w:rPr>
            </w:pPr>
          </w:p>
        </w:tc>
        <w:tc>
          <w:tcPr>
            <w:tcW w:w="4611" w:type="dxa"/>
            <w:vAlign w:val="center"/>
          </w:tcPr>
          <w:p w14:paraId="3FE1826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每层卸料口无防护门的</w:t>
            </w:r>
          </w:p>
        </w:tc>
        <w:tc>
          <w:tcPr>
            <w:tcW w:w="1560" w:type="dxa"/>
            <w:vAlign w:val="center"/>
          </w:tcPr>
          <w:p w14:paraId="24E231A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0CE45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BBA4916">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E51D6C1">
            <w:pPr>
              <w:spacing w:line="400" w:lineRule="exact"/>
              <w:jc w:val="center"/>
              <w:rPr>
                <w:rFonts w:ascii="仿宋" w:hAnsi="仿宋" w:eastAsia="仿宋" w:cs="宋体"/>
                <w:color w:val="auto"/>
                <w:kern w:val="0"/>
                <w:sz w:val="20"/>
                <w:szCs w:val="21"/>
                <w:highlight w:val="none"/>
              </w:rPr>
            </w:pPr>
          </w:p>
        </w:tc>
        <w:tc>
          <w:tcPr>
            <w:tcW w:w="4611" w:type="dxa"/>
            <w:vAlign w:val="center"/>
          </w:tcPr>
          <w:p w14:paraId="455F34C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卸料台口搭设不符合要求的</w:t>
            </w:r>
          </w:p>
        </w:tc>
        <w:tc>
          <w:tcPr>
            <w:tcW w:w="1560" w:type="dxa"/>
            <w:vAlign w:val="center"/>
          </w:tcPr>
          <w:p w14:paraId="2DC7F2E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6AB4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17EEFB5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59</w:t>
            </w:r>
          </w:p>
        </w:tc>
        <w:tc>
          <w:tcPr>
            <w:tcW w:w="1626" w:type="dxa"/>
            <w:vAlign w:val="center"/>
          </w:tcPr>
          <w:p w14:paraId="5DBEE52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司机</w:t>
            </w:r>
          </w:p>
        </w:tc>
        <w:tc>
          <w:tcPr>
            <w:tcW w:w="4611" w:type="dxa"/>
            <w:vAlign w:val="center"/>
          </w:tcPr>
          <w:p w14:paraId="17A3E60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司机无证上岗作业的</w:t>
            </w:r>
          </w:p>
        </w:tc>
        <w:tc>
          <w:tcPr>
            <w:tcW w:w="1560" w:type="dxa"/>
            <w:vAlign w:val="center"/>
          </w:tcPr>
          <w:p w14:paraId="2FDF309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1000元/人/次</w:t>
            </w:r>
          </w:p>
        </w:tc>
      </w:tr>
      <w:tr w14:paraId="2C6ED6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7AD102C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60</w:t>
            </w:r>
          </w:p>
        </w:tc>
        <w:tc>
          <w:tcPr>
            <w:tcW w:w="1626" w:type="dxa"/>
            <w:vMerge w:val="restart"/>
            <w:vAlign w:val="center"/>
          </w:tcPr>
          <w:p w14:paraId="2F7FF16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荷载</w:t>
            </w:r>
          </w:p>
        </w:tc>
        <w:tc>
          <w:tcPr>
            <w:tcW w:w="4611" w:type="dxa"/>
            <w:vAlign w:val="center"/>
          </w:tcPr>
          <w:p w14:paraId="02FBACD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超过规定承载人数</w:t>
            </w:r>
          </w:p>
        </w:tc>
        <w:tc>
          <w:tcPr>
            <w:tcW w:w="1560" w:type="dxa"/>
            <w:vAlign w:val="center"/>
          </w:tcPr>
          <w:p w14:paraId="4A7F007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411E93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6A1FEC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1948209">
            <w:pPr>
              <w:spacing w:line="400" w:lineRule="exact"/>
              <w:jc w:val="center"/>
              <w:rPr>
                <w:rFonts w:ascii="仿宋" w:hAnsi="仿宋" w:eastAsia="仿宋" w:cs="宋体"/>
                <w:color w:val="auto"/>
                <w:kern w:val="0"/>
                <w:sz w:val="20"/>
                <w:szCs w:val="21"/>
                <w:highlight w:val="none"/>
              </w:rPr>
            </w:pPr>
          </w:p>
        </w:tc>
        <w:tc>
          <w:tcPr>
            <w:tcW w:w="4611" w:type="dxa"/>
            <w:vAlign w:val="center"/>
          </w:tcPr>
          <w:p w14:paraId="5FF4D5D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超过规定重量</w:t>
            </w:r>
          </w:p>
        </w:tc>
        <w:tc>
          <w:tcPr>
            <w:tcW w:w="1560" w:type="dxa"/>
            <w:vAlign w:val="center"/>
          </w:tcPr>
          <w:p w14:paraId="7D25CB3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523A5B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185A32A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61</w:t>
            </w:r>
          </w:p>
        </w:tc>
        <w:tc>
          <w:tcPr>
            <w:tcW w:w="1626" w:type="dxa"/>
            <w:vMerge w:val="restart"/>
            <w:vAlign w:val="center"/>
          </w:tcPr>
          <w:p w14:paraId="33F22F5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安装与拆卸</w:t>
            </w:r>
          </w:p>
        </w:tc>
        <w:tc>
          <w:tcPr>
            <w:tcW w:w="4611" w:type="dxa"/>
            <w:vAlign w:val="center"/>
          </w:tcPr>
          <w:p w14:paraId="2A680D6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未制定安装拆卸方案的</w:t>
            </w:r>
          </w:p>
        </w:tc>
        <w:tc>
          <w:tcPr>
            <w:tcW w:w="1560" w:type="dxa"/>
            <w:vAlign w:val="center"/>
          </w:tcPr>
          <w:p w14:paraId="10FB80E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53B9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EC48256">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2ABFA53">
            <w:pPr>
              <w:spacing w:line="400" w:lineRule="exact"/>
              <w:jc w:val="center"/>
              <w:rPr>
                <w:rFonts w:ascii="仿宋" w:hAnsi="仿宋" w:eastAsia="仿宋" w:cs="宋体"/>
                <w:color w:val="auto"/>
                <w:kern w:val="0"/>
                <w:sz w:val="20"/>
                <w:szCs w:val="21"/>
                <w:highlight w:val="none"/>
              </w:rPr>
            </w:pPr>
          </w:p>
        </w:tc>
        <w:tc>
          <w:tcPr>
            <w:tcW w:w="4611" w:type="dxa"/>
            <w:vAlign w:val="center"/>
          </w:tcPr>
          <w:p w14:paraId="3088BDA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拆装队伍没有取得资格证书的、</w:t>
            </w:r>
          </w:p>
        </w:tc>
        <w:tc>
          <w:tcPr>
            <w:tcW w:w="1560" w:type="dxa"/>
            <w:vAlign w:val="center"/>
          </w:tcPr>
          <w:p w14:paraId="0272ABD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200元/人/次</w:t>
            </w:r>
          </w:p>
        </w:tc>
      </w:tr>
      <w:tr w14:paraId="04B992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278827C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62</w:t>
            </w:r>
          </w:p>
        </w:tc>
        <w:tc>
          <w:tcPr>
            <w:tcW w:w="1626" w:type="dxa"/>
            <w:vAlign w:val="center"/>
          </w:tcPr>
          <w:p w14:paraId="6850DEC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安装验收</w:t>
            </w:r>
          </w:p>
        </w:tc>
        <w:tc>
          <w:tcPr>
            <w:tcW w:w="4611" w:type="dxa"/>
            <w:vAlign w:val="center"/>
          </w:tcPr>
          <w:p w14:paraId="7A9117D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电梯安装后无验收或拆装无交的</w:t>
            </w:r>
          </w:p>
        </w:tc>
        <w:tc>
          <w:tcPr>
            <w:tcW w:w="1560" w:type="dxa"/>
            <w:vAlign w:val="center"/>
          </w:tcPr>
          <w:p w14:paraId="4E723DB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A6A6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3737491F">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63</w:t>
            </w:r>
          </w:p>
        </w:tc>
        <w:tc>
          <w:tcPr>
            <w:tcW w:w="1626" w:type="dxa"/>
            <w:vAlign w:val="center"/>
          </w:tcPr>
          <w:p w14:paraId="00EE721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维保记录</w:t>
            </w:r>
          </w:p>
        </w:tc>
        <w:tc>
          <w:tcPr>
            <w:tcW w:w="4611" w:type="dxa"/>
            <w:vAlign w:val="center"/>
          </w:tcPr>
          <w:p w14:paraId="14FD7F0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没定期进行维修保养</w:t>
            </w:r>
          </w:p>
        </w:tc>
        <w:tc>
          <w:tcPr>
            <w:tcW w:w="1560" w:type="dxa"/>
            <w:vAlign w:val="center"/>
          </w:tcPr>
          <w:p w14:paraId="315FAD2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AAF0D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1FCF958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模板支架</w:t>
            </w:r>
          </w:p>
        </w:tc>
      </w:tr>
      <w:tr w14:paraId="27DF8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0E38E29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64</w:t>
            </w:r>
          </w:p>
        </w:tc>
        <w:tc>
          <w:tcPr>
            <w:tcW w:w="1626" w:type="dxa"/>
            <w:vAlign w:val="center"/>
          </w:tcPr>
          <w:p w14:paraId="56BA8E7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施工方案</w:t>
            </w:r>
          </w:p>
        </w:tc>
        <w:tc>
          <w:tcPr>
            <w:tcW w:w="4611" w:type="dxa"/>
            <w:vAlign w:val="center"/>
          </w:tcPr>
          <w:p w14:paraId="76604F8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模板工程无施工方案或施工方案未经审批的</w:t>
            </w:r>
          </w:p>
        </w:tc>
        <w:tc>
          <w:tcPr>
            <w:tcW w:w="1560" w:type="dxa"/>
            <w:vAlign w:val="center"/>
          </w:tcPr>
          <w:p w14:paraId="0AEA75F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A2A3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4F42036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65</w:t>
            </w:r>
          </w:p>
        </w:tc>
        <w:tc>
          <w:tcPr>
            <w:tcW w:w="1626" w:type="dxa"/>
            <w:vMerge w:val="restart"/>
            <w:vAlign w:val="center"/>
          </w:tcPr>
          <w:p w14:paraId="2EDD082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支撑系统</w:t>
            </w:r>
          </w:p>
        </w:tc>
        <w:tc>
          <w:tcPr>
            <w:tcW w:w="4611" w:type="dxa"/>
            <w:vAlign w:val="center"/>
          </w:tcPr>
          <w:p w14:paraId="16997C4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现浇混凝土模板的支撑系统无设计计算的</w:t>
            </w:r>
          </w:p>
        </w:tc>
        <w:tc>
          <w:tcPr>
            <w:tcW w:w="1560" w:type="dxa"/>
            <w:vAlign w:val="center"/>
          </w:tcPr>
          <w:p w14:paraId="6D9051F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C0E0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936C5E0">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69E598A">
            <w:pPr>
              <w:spacing w:line="400" w:lineRule="exact"/>
              <w:jc w:val="center"/>
              <w:rPr>
                <w:rFonts w:ascii="仿宋" w:hAnsi="仿宋" w:eastAsia="仿宋" w:cs="宋体"/>
                <w:color w:val="auto"/>
                <w:kern w:val="0"/>
                <w:sz w:val="20"/>
                <w:szCs w:val="21"/>
                <w:highlight w:val="none"/>
              </w:rPr>
            </w:pPr>
          </w:p>
        </w:tc>
        <w:tc>
          <w:tcPr>
            <w:tcW w:w="4611" w:type="dxa"/>
            <w:vAlign w:val="center"/>
          </w:tcPr>
          <w:p w14:paraId="4EAA092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支撑系统不符合设计要求的</w:t>
            </w:r>
          </w:p>
        </w:tc>
        <w:tc>
          <w:tcPr>
            <w:tcW w:w="1560" w:type="dxa"/>
            <w:vAlign w:val="center"/>
          </w:tcPr>
          <w:p w14:paraId="5EBB549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6929F9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7447E16">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8697F3F">
            <w:pPr>
              <w:spacing w:line="400" w:lineRule="exact"/>
              <w:jc w:val="center"/>
              <w:rPr>
                <w:rFonts w:ascii="仿宋" w:hAnsi="仿宋" w:eastAsia="仿宋" w:cs="宋体"/>
                <w:color w:val="auto"/>
                <w:kern w:val="0"/>
                <w:sz w:val="20"/>
                <w:szCs w:val="21"/>
                <w:highlight w:val="none"/>
              </w:rPr>
            </w:pPr>
          </w:p>
        </w:tc>
        <w:tc>
          <w:tcPr>
            <w:tcW w:w="4611" w:type="dxa"/>
            <w:vAlign w:val="center"/>
          </w:tcPr>
          <w:p w14:paraId="698D543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支撑模板的立柱材料不符合要求的</w:t>
            </w:r>
          </w:p>
        </w:tc>
        <w:tc>
          <w:tcPr>
            <w:tcW w:w="1560" w:type="dxa"/>
            <w:vAlign w:val="center"/>
          </w:tcPr>
          <w:p w14:paraId="6182B57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8389F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6D3A38D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66</w:t>
            </w:r>
          </w:p>
        </w:tc>
        <w:tc>
          <w:tcPr>
            <w:tcW w:w="1626" w:type="dxa"/>
            <w:vMerge w:val="restart"/>
            <w:vAlign w:val="center"/>
          </w:tcPr>
          <w:p w14:paraId="4805219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立柱稳定</w:t>
            </w:r>
          </w:p>
        </w:tc>
        <w:tc>
          <w:tcPr>
            <w:tcW w:w="4611" w:type="dxa"/>
            <w:vAlign w:val="center"/>
          </w:tcPr>
          <w:p w14:paraId="399E675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立柱底部无垫板或用砖垫高的</w:t>
            </w:r>
          </w:p>
        </w:tc>
        <w:tc>
          <w:tcPr>
            <w:tcW w:w="1560" w:type="dxa"/>
            <w:vAlign w:val="center"/>
          </w:tcPr>
          <w:p w14:paraId="2BEE54B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EE46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3EB69646">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390B5A7">
            <w:pPr>
              <w:spacing w:line="400" w:lineRule="exact"/>
              <w:jc w:val="center"/>
              <w:rPr>
                <w:rFonts w:ascii="仿宋" w:hAnsi="仿宋" w:eastAsia="仿宋" w:cs="宋体"/>
                <w:color w:val="auto"/>
                <w:kern w:val="0"/>
                <w:sz w:val="20"/>
                <w:szCs w:val="21"/>
                <w:highlight w:val="none"/>
              </w:rPr>
            </w:pPr>
          </w:p>
        </w:tc>
        <w:tc>
          <w:tcPr>
            <w:tcW w:w="4611" w:type="dxa"/>
            <w:vAlign w:val="center"/>
          </w:tcPr>
          <w:p w14:paraId="7840D5D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不安规定设置纵横向支撑的</w:t>
            </w:r>
          </w:p>
        </w:tc>
        <w:tc>
          <w:tcPr>
            <w:tcW w:w="1560" w:type="dxa"/>
            <w:vAlign w:val="center"/>
          </w:tcPr>
          <w:p w14:paraId="257A199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4FABBE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E6A788C">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EAA5D24">
            <w:pPr>
              <w:spacing w:line="400" w:lineRule="exact"/>
              <w:jc w:val="center"/>
              <w:rPr>
                <w:rFonts w:ascii="仿宋" w:hAnsi="仿宋" w:eastAsia="仿宋" w:cs="宋体"/>
                <w:color w:val="auto"/>
                <w:kern w:val="0"/>
                <w:sz w:val="20"/>
                <w:szCs w:val="21"/>
                <w:highlight w:val="none"/>
              </w:rPr>
            </w:pPr>
          </w:p>
        </w:tc>
        <w:tc>
          <w:tcPr>
            <w:tcW w:w="4611" w:type="dxa"/>
            <w:vAlign w:val="center"/>
          </w:tcPr>
          <w:p w14:paraId="2898FCB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立柱间距不符合规定的</w:t>
            </w:r>
          </w:p>
        </w:tc>
        <w:tc>
          <w:tcPr>
            <w:tcW w:w="1560" w:type="dxa"/>
            <w:vAlign w:val="center"/>
          </w:tcPr>
          <w:p w14:paraId="10A55F0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r w14:paraId="047B1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479F04D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67</w:t>
            </w:r>
          </w:p>
        </w:tc>
        <w:tc>
          <w:tcPr>
            <w:tcW w:w="1626" w:type="dxa"/>
            <w:vMerge w:val="restart"/>
            <w:vAlign w:val="center"/>
          </w:tcPr>
          <w:p w14:paraId="159AD9D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施工荷载</w:t>
            </w:r>
          </w:p>
        </w:tc>
        <w:tc>
          <w:tcPr>
            <w:tcW w:w="4611" w:type="dxa"/>
            <w:vAlign w:val="center"/>
          </w:tcPr>
          <w:p w14:paraId="5CC0D8D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模板上施工荷载超过规定的</w:t>
            </w:r>
          </w:p>
        </w:tc>
        <w:tc>
          <w:tcPr>
            <w:tcW w:w="1560" w:type="dxa"/>
            <w:vAlign w:val="center"/>
          </w:tcPr>
          <w:p w14:paraId="29863DB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0B71AB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1C3618D5">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448AEF5B">
            <w:pPr>
              <w:spacing w:line="400" w:lineRule="exact"/>
              <w:jc w:val="center"/>
              <w:rPr>
                <w:rFonts w:ascii="仿宋" w:hAnsi="仿宋" w:eastAsia="仿宋" w:cs="宋体"/>
                <w:color w:val="auto"/>
                <w:kern w:val="0"/>
                <w:sz w:val="20"/>
                <w:szCs w:val="21"/>
                <w:highlight w:val="none"/>
              </w:rPr>
            </w:pPr>
          </w:p>
        </w:tc>
        <w:tc>
          <w:tcPr>
            <w:tcW w:w="4611" w:type="dxa"/>
            <w:vAlign w:val="center"/>
          </w:tcPr>
          <w:p w14:paraId="30DF3BB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模板上堆料不均勾的</w:t>
            </w:r>
          </w:p>
        </w:tc>
        <w:tc>
          <w:tcPr>
            <w:tcW w:w="1560" w:type="dxa"/>
            <w:vAlign w:val="center"/>
          </w:tcPr>
          <w:p w14:paraId="7E3A71E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4BAE12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6662EB1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68</w:t>
            </w:r>
          </w:p>
        </w:tc>
        <w:tc>
          <w:tcPr>
            <w:tcW w:w="1626" w:type="dxa"/>
            <w:vMerge w:val="restart"/>
            <w:vAlign w:val="center"/>
          </w:tcPr>
          <w:p w14:paraId="4C25896A">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模板存放</w:t>
            </w:r>
          </w:p>
        </w:tc>
        <w:tc>
          <w:tcPr>
            <w:tcW w:w="4611" w:type="dxa"/>
            <w:vAlign w:val="center"/>
          </w:tcPr>
          <w:p w14:paraId="046E8C6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大模板存放无防倾倒措施的</w:t>
            </w:r>
          </w:p>
        </w:tc>
        <w:tc>
          <w:tcPr>
            <w:tcW w:w="1560" w:type="dxa"/>
            <w:vAlign w:val="center"/>
          </w:tcPr>
          <w:p w14:paraId="64A6D08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65BB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3B7AAF6">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8AD73A7">
            <w:pPr>
              <w:spacing w:line="400" w:lineRule="exact"/>
              <w:jc w:val="center"/>
              <w:rPr>
                <w:rFonts w:ascii="仿宋" w:hAnsi="仿宋" w:eastAsia="仿宋" w:cs="宋体"/>
                <w:color w:val="auto"/>
                <w:kern w:val="0"/>
                <w:sz w:val="20"/>
                <w:szCs w:val="21"/>
                <w:highlight w:val="none"/>
              </w:rPr>
            </w:pPr>
          </w:p>
        </w:tc>
        <w:tc>
          <w:tcPr>
            <w:tcW w:w="4611" w:type="dxa"/>
            <w:vAlign w:val="center"/>
          </w:tcPr>
          <w:p w14:paraId="71B1411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各种模板存放不整齐、过高等不符合安全要求的</w:t>
            </w:r>
          </w:p>
        </w:tc>
        <w:tc>
          <w:tcPr>
            <w:tcW w:w="1560" w:type="dxa"/>
            <w:vAlign w:val="center"/>
          </w:tcPr>
          <w:p w14:paraId="7B93154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C7EB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1B6EEDB">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655F6EE">
            <w:pPr>
              <w:spacing w:line="400" w:lineRule="exact"/>
              <w:jc w:val="center"/>
              <w:rPr>
                <w:rFonts w:ascii="仿宋" w:hAnsi="仿宋" w:eastAsia="仿宋" w:cs="宋体"/>
                <w:color w:val="auto"/>
                <w:kern w:val="0"/>
                <w:sz w:val="20"/>
                <w:szCs w:val="21"/>
                <w:highlight w:val="none"/>
              </w:rPr>
            </w:pPr>
          </w:p>
        </w:tc>
        <w:tc>
          <w:tcPr>
            <w:tcW w:w="4611" w:type="dxa"/>
            <w:vAlign w:val="center"/>
          </w:tcPr>
          <w:p w14:paraId="56A4C25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2m以上高处作业无可靠立足点的</w:t>
            </w:r>
          </w:p>
        </w:tc>
        <w:tc>
          <w:tcPr>
            <w:tcW w:w="1560" w:type="dxa"/>
            <w:vAlign w:val="center"/>
          </w:tcPr>
          <w:p w14:paraId="1BCF284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A9F31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3C796731">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69</w:t>
            </w:r>
          </w:p>
        </w:tc>
        <w:tc>
          <w:tcPr>
            <w:tcW w:w="1626" w:type="dxa"/>
            <w:vMerge w:val="restart"/>
            <w:vAlign w:val="center"/>
          </w:tcPr>
          <w:p w14:paraId="56FAAE8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支拆模板</w:t>
            </w:r>
          </w:p>
        </w:tc>
        <w:tc>
          <w:tcPr>
            <w:tcW w:w="4611" w:type="dxa"/>
            <w:vAlign w:val="center"/>
          </w:tcPr>
          <w:p w14:paraId="1D72157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拆除区域未设置警戒线且无监护人的</w:t>
            </w:r>
          </w:p>
        </w:tc>
        <w:tc>
          <w:tcPr>
            <w:tcW w:w="1560" w:type="dxa"/>
            <w:vAlign w:val="center"/>
          </w:tcPr>
          <w:p w14:paraId="14A65DA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EEB2C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56B7378">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5F4D8ED6">
            <w:pPr>
              <w:spacing w:line="400" w:lineRule="exact"/>
              <w:jc w:val="center"/>
              <w:rPr>
                <w:rFonts w:ascii="仿宋" w:hAnsi="仿宋" w:eastAsia="仿宋" w:cs="宋体"/>
                <w:color w:val="auto"/>
                <w:kern w:val="0"/>
                <w:sz w:val="20"/>
                <w:szCs w:val="21"/>
                <w:highlight w:val="none"/>
              </w:rPr>
            </w:pPr>
          </w:p>
        </w:tc>
        <w:tc>
          <w:tcPr>
            <w:tcW w:w="4611" w:type="dxa"/>
            <w:vAlign w:val="center"/>
          </w:tcPr>
          <w:p w14:paraId="67027DE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留有未拆除的悬空模板的成大面积支架拆除模板悬空的</w:t>
            </w:r>
          </w:p>
        </w:tc>
        <w:tc>
          <w:tcPr>
            <w:tcW w:w="1560" w:type="dxa"/>
            <w:vAlign w:val="center"/>
          </w:tcPr>
          <w:p w14:paraId="740029BC">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7619D2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0BD261A9">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70</w:t>
            </w:r>
          </w:p>
        </w:tc>
        <w:tc>
          <w:tcPr>
            <w:tcW w:w="1626" w:type="dxa"/>
            <w:vMerge w:val="restart"/>
            <w:vAlign w:val="center"/>
          </w:tcPr>
          <w:p w14:paraId="20FB93D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模板验收</w:t>
            </w:r>
          </w:p>
        </w:tc>
        <w:tc>
          <w:tcPr>
            <w:tcW w:w="4611" w:type="dxa"/>
            <w:vAlign w:val="center"/>
          </w:tcPr>
          <w:p w14:paraId="2B2D742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模板拆除前未经拆模申请批准的</w:t>
            </w:r>
          </w:p>
        </w:tc>
        <w:tc>
          <w:tcPr>
            <w:tcW w:w="1560" w:type="dxa"/>
            <w:vAlign w:val="center"/>
          </w:tcPr>
          <w:p w14:paraId="27984F9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5A2346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7DE8266A">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379B2F7E">
            <w:pPr>
              <w:spacing w:line="400" w:lineRule="exact"/>
              <w:jc w:val="center"/>
              <w:rPr>
                <w:rFonts w:ascii="仿宋" w:hAnsi="仿宋" w:eastAsia="仿宋" w:cs="宋体"/>
                <w:color w:val="auto"/>
                <w:kern w:val="0"/>
                <w:sz w:val="20"/>
                <w:szCs w:val="21"/>
                <w:highlight w:val="none"/>
              </w:rPr>
            </w:pPr>
          </w:p>
        </w:tc>
        <w:tc>
          <w:tcPr>
            <w:tcW w:w="4611" w:type="dxa"/>
            <w:vAlign w:val="center"/>
          </w:tcPr>
          <w:p w14:paraId="073BFFF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模板工程无验收手续的</w:t>
            </w:r>
          </w:p>
        </w:tc>
        <w:tc>
          <w:tcPr>
            <w:tcW w:w="1560" w:type="dxa"/>
            <w:vAlign w:val="center"/>
          </w:tcPr>
          <w:p w14:paraId="68E4C75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213B8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E09E855">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1A8CB945">
            <w:pPr>
              <w:spacing w:line="400" w:lineRule="exact"/>
              <w:jc w:val="center"/>
              <w:rPr>
                <w:rFonts w:ascii="仿宋" w:hAnsi="仿宋" w:eastAsia="仿宋" w:cs="宋体"/>
                <w:color w:val="auto"/>
                <w:kern w:val="0"/>
                <w:sz w:val="20"/>
                <w:szCs w:val="21"/>
                <w:highlight w:val="none"/>
              </w:rPr>
            </w:pPr>
          </w:p>
        </w:tc>
        <w:tc>
          <w:tcPr>
            <w:tcW w:w="4611" w:type="dxa"/>
            <w:vAlign w:val="center"/>
          </w:tcPr>
          <w:p w14:paraId="2DE2E41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验收单无量化验收内容的</w:t>
            </w:r>
          </w:p>
        </w:tc>
        <w:tc>
          <w:tcPr>
            <w:tcW w:w="1560" w:type="dxa"/>
            <w:vAlign w:val="center"/>
          </w:tcPr>
          <w:p w14:paraId="25D00C4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3F951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2E1DCD66">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73EAAB69">
            <w:pPr>
              <w:spacing w:line="400" w:lineRule="exact"/>
              <w:jc w:val="center"/>
              <w:rPr>
                <w:rFonts w:ascii="仿宋" w:hAnsi="仿宋" w:eastAsia="仿宋" w:cs="宋体"/>
                <w:color w:val="auto"/>
                <w:kern w:val="0"/>
                <w:sz w:val="20"/>
                <w:szCs w:val="21"/>
                <w:highlight w:val="none"/>
              </w:rPr>
            </w:pPr>
          </w:p>
        </w:tc>
        <w:tc>
          <w:tcPr>
            <w:tcW w:w="4611" w:type="dxa"/>
            <w:vAlign w:val="center"/>
          </w:tcPr>
          <w:p w14:paraId="6D39DD9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支拆模板未进行安全技术交底的</w:t>
            </w:r>
          </w:p>
        </w:tc>
        <w:tc>
          <w:tcPr>
            <w:tcW w:w="1560" w:type="dxa"/>
            <w:vAlign w:val="center"/>
          </w:tcPr>
          <w:p w14:paraId="41E6FA9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10BCD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42C6D94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71</w:t>
            </w:r>
          </w:p>
        </w:tc>
        <w:tc>
          <w:tcPr>
            <w:tcW w:w="1626" w:type="dxa"/>
            <w:vMerge w:val="restart"/>
            <w:vAlign w:val="center"/>
          </w:tcPr>
          <w:p w14:paraId="2AF0B8A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混凝土强度</w:t>
            </w:r>
          </w:p>
        </w:tc>
        <w:tc>
          <w:tcPr>
            <w:tcW w:w="4611" w:type="dxa"/>
            <w:vAlign w:val="center"/>
          </w:tcPr>
          <w:p w14:paraId="75906D5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模板拆除前无混凝士强度报告的</w:t>
            </w:r>
          </w:p>
        </w:tc>
        <w:tc>
          <w:tcPr>
            <w:tcW w:w="1560" w:type="dxa"/>
            <w:vAlign w:val="center"/>
          </w:tcPr>
          <w:p w14:paraId="3CA9BC7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每项100元/次</w:t>
            </w:r>
          </w:p>
        </w:tc>
      </w:tr>
      <w:tr w14:paraId="311E7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FFE7D69">
            <w:pPr>
              <w:spacing w:line="400" w:lineRule="exact"/>
              <w:jc w:val="center"/>
              <w:rPr>
                <w:rFonts w:ascii="仿宋" w:hAnsi="仿宋" w:eastAsia="仿宋" w:cs="宋体"/>
                <w:color w:val="auto"/>
                <w:kern w:val="0"/>
                <w:sz w:val="20"/>
                <w:szCs w:val="21"/>
                <w:highlight w:val="none"/>
              </w:rPr>
            </w:pPr>
          </w:p>
        </w:tc>
        <w:tc>
          <w:tcPr>
            <w:tcW w:w="1626" w:type="dxa"/>
            <w:vMerge w:val="continue"/>
            <w:vAlign w:val="center"/>
          </w:tcPr>
          <w:p w14:paraId="60AEFB60">
            <w:pPr>
              <w:spacing w:line="400" w:lineRule="exact"/>
              <w:jc w:val="center"/>
              <w:rPr>
                <w:rFonts w:ascii="仿宋" w:hAnsi="仿宋" w:eastAsia="仿宋" w:cs="宋体"/>
                <w:color w:val="auto"/>
                <w:kern w:val="0"/>
                <w:sz w:val="20"/>
                <w:szCs w:val="21"/>
                <w:highlight w:val="none"/>
              </w:rPr>
            </w:pPr>
          </w:p>
        </w:tc>
        <w:tc>
          <w:tcPr>
            <w:tcW w:w="4611" w:type="dxa"/>
            <w:vAlign w:val="center"/>
          </w:tcPr>
          <w:p w14:paraId="7096147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混凝土强度未达规定提前拆模的</w:t>
            </w:r>
          </w:p>
        </w:tc>
        <w:tc>
          <w:tcPr>
            <w:tcW w:w="1560" w:type="dxa"/>
            <w:vAlign w:val="center"/>
          </w:tcPr>
          <w:p w14:paraId="79D96A7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每项500元/次</w:t>
            </w:r>
          </w:p>
        </w:tc>
      </w:tr>
    </w:tbl>
    <w:p w14:paraId="1D050577">
      <w:pPr>
        <w:spacing w:line="560" w:lineRule="exact"/>
        <w:rPr>
          <w:rFonts w:ascii="仿宋" w:hAnsi="仿宋" w:eastAsia="仿宋" w:cs="宋体"/>
          <w:bCs/>
          <w:color w:val="auto"/>
          <w:szCs w:val="21"/>
          <w:highlight w:val="none"/>
        </w:rPr>
      </w:pPr>
      <w:r>
        <w:rPr>
          <w:rFonts w:hint="eastAsia" w:ascii="仿宋" w:hAnsi="仿宋" w:eastAsia="仿宋" w:cs="宋体"/>
          <w:bCs/>
          <w:color w:val="auto"/>
          <w:szCs w:val="21"/>
          <w:highlight w:val="none"/>
        </w:rPr>
        <w:t>3、施工现场安全标志、标识</w:t>
      </w:r>
    </w:p>
    <w:tbl>
      <w:tblPr>
        <w:tblStyle w:val="38"/>
        <w:tblW w:w="85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5039"/>
        <w:gridCol w:w="1198"/>
        <w:gridCol w:w="1560"/>
      </w:tblGrid>
      <w:tr w14:paraId="6EFDA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jc w:val="center"/>
        </w:trPr>
        <w:tc>
          <w:tcPr>
            <w:tcW w:w="709" w:type="dxa"/>
            <w:vAlign w:val="center"/>
          </w:tcPr>
          <w:p w14:paraId="62D8763E">
            <w:pPr>
              <w:spacing w:line="400" w:lineRule="exact"/>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序号</w:t>
            </w:r>
          </w:p>
        </w:tc>
        <w:tc>
          <w:tcPr>
            <w:tcW w:w="5039" w:type="dxa"/>
            <w:vAlign w:val="center"/>
          </w:tcPr>
          <w:p w14:paraId="437F63BB">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项目</w:t>
            </w:r>
          </w:p>
        </w:tc>
        <w:tc>
          <w:tcPr>
            <w:tcW w:w="1198" w:type="dxa"/>
            <w:vAlign w:val="center"/>
          </w:tcPr>
          <w:p w14:paraId="1DD9B511">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rPr>
              <w:t>检查标准</w:t>
            </w:r>
          </w:p>
        </w:tc>
        <w:tc>
          <w:tcPr>
            <w:tcW w:w="1560" w:type="dxa"/>
            <w:vAlign w:val="center"/>
          </w:tcPr>
          <w:p w14:paraId="6ACB6140">
            <w:pPr>
              <w:spacing w:line="400" w:lineRule="exact"/>
              <w:jc w:val="center"/>
              <w:rPr>
                <w:rFonts w:ascii="仿宋" w:hAnsi="仿宋" w:eastAsia="仿宋" w:cs="宋体"/>
                <w:b/>
                <w:color w:val="auto"/>
                <w:kern w:val="0"/>
                <w:sz w:val="20"/>
                <w:szCs w:val="21"/>
                <w:highlight w:val="none"/>
              </w:rPr>
            </w:pPr>
            <w:r>
              <w:rPr>
                <w:rFonts w:hint="eastAsia" w:ascii="仿宋" w:hAnsi="仿宋" w:eastAsia="仿宋" w:cs="宋体"/>
                <w:b/>
                <w:color w:val="auto"/>
                <w:kern w:val="0"/>
                <w:sz w:val="20"/>
                <w:szCs w:val="21"/>
                <w:highlight w:val="none"/>
                <w:lang w:val="en-US" w:eastAsia="zh-CN"/>
              </w:rPr>
              <w:t>违约金</w:t>
            </w:r>
            <w:r>
              <w:rPr>
                <w:rFonts w:hint="eastAsia" w:ascii="仿宋" w:hAnsi="仿宋" w:eastAsia="仿宋" w:cs="宋体"/>
                <w:b/>
                <w:color w:val="auto"/>
                <w:kern w:val="0"/>
                <w:sz w:val="20"/>
                <w:szCs w:val="21"/>
                <w:highlight w:val="none"/>
              </w:rPr>
              <w:t>标准</w:t>
            </w:r>
          </w:p>
        </w:tc>
      </w:tr>
      <w:tr w14:paraId="072D10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1D639364">
            <w:pPr>
              <w:spacing w:line="4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72</w:t>
            </w:r>
          </w:p>
        </w:tc>
        <w:tc>
          <w:tcPr>
            <w:tcW w:w="6237" w:type="dxa"/>
            <w:gridSpan w:val="2"/>
            <w:vAlign w:val="center"/>
          </w:tcPr>
          <w:p w14:paraId="73B07FA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应在现场作业区、加工区、生活区等醒目位置设置警示用语牌</w:t>
            </w:r>
          </w:p>
        </w:tc>
        <w:tc>
          <w:tcPr>
            <w:tcW w:w="1560" w:type="dxa"/>
            <w:vAlign w:val="center"/>
          </w:tcPr>
          <w:p w14:paraId="41C486A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06995C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500F74BB">
            <w:pPr>
              <w:spacing w:line="400" w:lineRule="exact"/>
              <w:ind w:firstLine="200" w:firstLineChars="100"/>
              <w:rPr>
                <w:rFonts w:ascii="仿宋" w:hAnsi="仿宋" w:eastAsia="仿宋" w:cs="宋体"/>
                <w:color w:val="auto"/>
                <w:kern w:val="0"/>
                <w:sz w:val="20"/>
                <w:szCs w:val="21"/>
                <w:highlight w:val="none"/>
              </w:rPr>
            </w:pPr>
          </w:p>
        </w:tc>
        <w:tc>
          <w:tcPr>
            <w:tcW w:w="6237" w:type="dxa"/>
            <w:gridSpan w:val="2"/>
            <w:vAlign w:val="center"/>
          </w:tcPr>
          <w:p w14:paraId="4E0A4FC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警示用语牌要统一规范，满足警示要求</w:t>
            </w:r>
          </w:p>
        </w:tc>
        <w:tc>
          <w:tcPr>
            <w:tcW w:w="1560" w:type="dxa"/>
            <w:vAlign w:val="center"/>
          </w:tcPr>
          <w:p w14:paraId="2CF83F5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26697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A6FD807">
            <w:pPr>
              <w:spacing w:line="400" w:lineRule="exact"/>
              <w:ind w:firstLine="200" w:firstLineChars="100"/>
              <w:rPr>
                <w:rFonts w:ascii="仿宋" w:hAnsi="仿宋" w:eastAsia="仿宋" w:cs="宋体"/>
                <w:color w:val="auto"/>
                <w:kern w:val="0"/>
                <w:sz w:val="20"/>
                <w:szCs w:val="21"/>
                <w:highlight w:val="none"/>
              </w:rPr>
            </w:pPr>
          </w:p>
        </w:tc>
        <w:tc>
          <w:tcPr>
            <w:tcW w:w="6237" w:type="dxa"/>
            <w:gridSpan w:val="2"/>
            <w:vAlign w:val="center"/>
          </w:tcPr>
          <w:p w14:paraId="35AA113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应绘制安全标志平面布置图</w:t>
            </w:r>
          </w:p>
        </w:tc>
        <w:tc>
          <w:tcPr>
            <w:tcW w:w="1560" w:type="dxa"/>
            <w:vMerge w:val="restart"/>
            <w:vAlign w:val="center"/>
          </w:tcPr>
          <w:p w14:paraId="67A54665">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p w14:paraId="5ED23814">
            <w:pPr>
              <w:spacing w:line="400" w:lineRule="exact"/>
              <w:rPr>
                <w:rFonts w:ascii="仿宋" w:hAnsi="仿宋" w:eastAsia="仿宋" w:cs="宋体"/>
                <w:color w:val="auto"/>
                <w:kern w:val="0"/>
                <w:sz w:val="20"/>
                <w:szCs w:val="21"/>
                <w:highlight w:val="none"/>
              </w:rPr>
            </w:pPr>
          </w:p>
        </w:tc>
      </w:tr>
      <w:tr w14:paraId="6BF8E6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01E41A87">
            <w:pPr>
              <w:spacing w:line="400" w:lineRule="exact"/>
              <w:ind w:firstLine="200" w:firstLineChars="100"/>
              <w:rPr>
                <w:rFonts w:ascii="仿宋" w:hAnsi="仿宋" w:eastAsia="仿宋" w:cs="宋体"/>
                <w:color w:val="auto"/>
                <w:kern w:val="0"/>
                <w:sz w:val="20"/>
                <w:szCs w:val="21"/>
                <w:highlight w:val="none"/>
              </w:rPr>
            </w:pPr>
          </w:p>
        </w:tc>
        <w:tc>
          <w:tcPr>
            <w:tcW w:w="6237" w:type="dxa"/>
            <w:gridSpan w:val="2"/>
            <w:vAlign w:val="center"/>
          </w:tcPr>
          <w:p w14:paraId="65B47AA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在危险作业部位悬挂安全警示牌</w:t>
            </w:r>
          </w:p>
        </w:tc>
        <w:tc>
          <w:tcPr>
            <w:tcW w:w="1560" w:type="dxa"/>
            <w:vMerge w:val="continue"/>
            <w:vAlign w:val="center"/>
          </w:tcPr>
          <w:p w14:paraId="130E945E">
            <w:pPr>
              <w:spacing w:line="400" w:lineRule="exact"/>
              <w:rPr>
                <w:rFonts w:ascii="仿宋" w:hAnsi="仿宋" w:eastAsia="仿宋" w:cs="宋体"/>
                <w:color w:val="auto"/>
                <w:kern w:val="0"/>
                <w:sz w:val="20"/>
                <w:szCs w:val="21"/>
                <w:highlight w:val="none"/>
              </w:rPr>
            </w:pPr>
          </w:p>
        </w:tc>
      </w:tr>
      <w:tr w14:paraId="3333F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4A886121">
            <w:pPr>
              <w:spacing w:line="400" w:lineRule="exact"/>
              <w:ind w:firstLine="200" w:firstLineChars="100"/>
              <w:rPr>
                <w:rFonts w:ascii="仿宋" w:hAnsi="仿宋" w:eastAsia="仿宋" w:cs="宋体"/>
                <w:color w:val="auto"/>
                <w:kern w:val="0"/>
                <w:sz w:val="20"/>
                <w:szCs w:val="21"/>
                <w:highlight w:val="none"/>
              </w:rPr>
            </w:pPr>
          </w:p>
        </w:tc>
        <w:tc>
          <w:tcPr>
            <w:tcW w:w="6237" w:type="dxa"/>
            <w:gridSpan w:val="2"/>
            <w:vAlign w:val="center"/>
          </w:tcPr>
          <w:p w14:paraId="2AD6FD6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安全标志应符合《安全标志》(GB2894)的要求</w:t>
            </w:r>
          </w:p>
        </w:tc>
        <w:tc>
          <w:tcPr>
            <w:tcW w:w="1560" w:type="dxa"/>
            <w:vMerge w:val="continue"/>
            <w:vAlign w:val="center"/>
          </w:tcPr>
          <w:p w14:paraId="6B691E08">
            <w:pPr>
              <w:spacing w:line="400" w:lineRule="exact"/>
              <w:rPr>
                <w:rFonts w:ascii="仿宋" w:hAnsi="仿宋" w:eastAsia="仿宋" w:cs="宋体"/>
                <w:color w:val="auto"/>
                <w:kern w:val="0"/>
                <w:sz w:val="20"/>
                <w:szCs w:val="21"/>
                <w:highlight w:val="none"/>
              </w:rPr>
            </w:pPr>
          </w:p>
        </w:tc>
      </w:tr>
      <w:tr w14:paraId="1B5AB0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397B9D4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五牌一图</w:t>
            </w:r>
          </w:p>
        </w:tc>
      </w:tr>
      <w:tr w14:paraId="1C1A43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restart"/>
            <w:vAlign w:val="center"/>
          </w:tcPr>
          <w:p w14:paraId="55CD9DFA">
            <w:pPr>
              <w:spacing w:line="4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73</w:t>
            </w:r>
          </w:p>
        </w:tc>
        <w:tc>
          <w:tcPr>
            <w:tcW w:w="6237" w:type="dxa"/>
            <w:gridSpan w:val="2"/>
            <w:vAlign w:val="center"/>
          </w:tcPr>
          <w:p w14:paraId="3AABE35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五牌：工程概况牌、管理人员名单及监督电话牌、消防保卫牌、安全生产牌文明施工牌</w:t>
            </w:r>
          </w:p>
        </w:tc>
        <w:tc>
          <w:tcPr>
            <w:tcW w:w="1560" w:type="dxa"/>
            <w:vMerge w:val="restart"/>
            <w:vAlign w:val="center"/>
          </w:tcPr>
          <w:p w14:paraId="24FE0DC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p w14:paraId="092686F3">
            <w:pPr>
              <w:spacing w:line="400" w:lineRule="exact"/>
              <w:rPr>
                <w:rFonts w:ascii="仿宋" w:hAnsi="仿宋" w:eastAsia="仿宋" w:cs="宋体"/>
                <w:color w:val="auto"/>
                <w:kern w:val="0"/>
                <w:sz w:val="20"/>
                <w:szCs w:val="21"/>
                <w:highlight w:val="none"/>
              </w:rPr>
            </w:pPr>
          </w:p>
        </w:tc>
      </w:tr>
      <w:tr w14:paraId="3FF0B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Merge w:val="continue"/>
            <w:vAlign w:val="center"/>
          </w:tcPr>
          <w:p w14:paraId="63D27EE0">
            <w:pPr>
              <w:spacing w:line="400" w:lineRule="exact"/>
              <w:ind w:firstLine="200" w:firstLineChars="100"/>
              <w:rPr>
                <w:rFonts w:ascii="仿宋" w:hAnsi="仿宋" w:eastAsia="仿宋" w:cs="宋体"/>
                <w:color w:val="auto"/>
                <w:kern w:val="0"/>
                <w:sz w:val="20"/>
                <w:szCs w:val="21"/>
                <w:highlight w:val="none"/>
              </w:rPr>
            </w:pPr>
          </w:p>
        </w:tc>
        <w:tc>
          <w:tcPr>
            <w:tcW w:w="6237" w:type="dxa"/>
            <w:gridSpan w:val="2"/>
            <w:vAlign w:val="center"/>
          </w:tcPr>
          <w:p w14:paraId="7AFC9F7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一图：施工现场总平面图</w:t>
            </w:r>
          </w:p>
        </w:tc>
        <w:tc>
          <w:tcPr>
            <w:tcW w:w="1560" w:type="dxa"/>
            <w:vMerge w:val="continue"/>
            <w:vAlign w:val="center"/>
          </w:tcPr>
          <w:p w14:paraId="1C0777D5">
            <w:pPr>
              <w:spacing w:line="400" w:lineRule="exact"/>
              <w:rPr>
                <w:rFonts w:ascii="仿宋" w:hAnsi="仿宋" w:eastAsia="仿宋" w:cs="宋体"/>
                <w:color w:val="auto"/>
                <w:kern w:val="0"/>
                <w:sz w:val="20"/>
                <w:szCs w:val="21"/>
                <w:highlight w:val="none"/>
              </w:rPr>
            </w:pPr>
          </w:p>
        </w:tc>
      </w:tr>
      <w:tr w14:paraId="377B83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5B764551">
            <w:pPr>
              <w:spacing w:line="4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74</w:t>
            </w:r>
          </w:p>
        </w:tc>
        <w:tc>
          <w:tcPr>
            <w:tcW w:w="6237" w:type="dxa"/>
            <w:gridSpan w:val="2"/>
            <w:vAlign w:val="center"/>
          </w:tcPr>
          <w:p w14:paraId="69D25BF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可结合本企业、本工程特点增加其他的图牌</w:t>
            </w:r>
          </w:p>
        </w:tc>
        <w:tc>
          <w:tcPr>
            <w:tcW w:w="1560" w:type="dxa"/>
            <w:vAlign w:val="center"/>
          </w:tcPr>
          <w:p w14:paraId="0869A218">
            <w:pPr>
              <w:spacing w:line="400" w:lineRule="exact"/>
              <w:rPr>
                <w:rFonts w:ascii="仿宋" w:hAnsi="仿宋" w:eastAsia="仿宋" w:cs="宋体"/>
                <w:color w:val="auto"/>
                <w:kern w:val="0"/>
                <w:sz w:val="20"/>
                <w:szCs w:val="21"/>
                <w:highlight w:val="none"/>
              </w:rPr>
            </w:pPr>
          </w:p>
        </w:tc>
      </w:tr>
      <w:tr w14:paraId="36C1BF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160E99D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安全警告宣传牌</w:t>
            </w:r>
          </w:p>
        </w:tc>
      </w:tr>
      <w:tr w14:paraId="2ABA31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3311D715">
            <w:pPr>
              <w:spacing w:line="4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75</w:t>
            </w:r>
          </w:p>
        </w:tc>
        <w:tc>
          <w:tcPr>
            <w:tcW w:w="6237" w:type="dxa"/>
            <w:gridSpan w:val="2"/>
            <w:vAlign w:val="center"/>
          </w:tcPr>
          <w:p w14:paraId="29E625B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用于施工道路两侧或施工场所</w:t>
            </w:r>
          </w:p>
        </w:tc>
        <w:tc>
          <w:tcPr>
            <w:tcW w:w="1560" w:type="dxa"/>
            <w:vAlign w:val="center"/>
          </w:tcPr>
          <w:p w14:paraId="3FB532E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CEC7F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3B8E83C8">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警示用语牌</w:t>
            </w:r>
          </w:p>
        </w:tc>
      </w:tr>
      <w:tr w14:paraId="738640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39BC4BB4">
            <w:pPr>
              <w:spacing w:line="4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77</w:t>
            </w:r>
          </w:p>
        </w:tc>
        <w:tc>
          <w:tcPr>
            <w:tcW w:w="6237" w:type="dxa"/>
            <w:gridSpan w:val="2"/>
            <w:vAlign w:val="center"/>
          </w:tcPr>
          <w:p w14:paraId="6B68F83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施工现场生活区、施工区、材料加工区等区域应悬挂警示用语牌</w:t>
            </w:r>
          </w:p>
        </w:tc>
        <w:tc>
          <w:tcPr>
            <w:tcW w:w="1560" w:type="dxa"/>
            <w:vAlign w:val="center"/>
          </w:tcPr>
          <w:p w14:paraId="2CEF4F4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47D65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783623C0">
            <w:pPr>
              <w:spacing w:line="4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78</w:t>
            </w:r>
          </w:p>
        </w:tc>
        <w:tc>
          <w:tcPr>
            <w:tcW w:w="6237" w:type="dxa"/>
            <w:gridSpan w:val="2"/>
            <w:vAlign w:val="center"/>
          </w:tcPr>
          <w:p w14:paraId="298D62B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安全用语牌主要用于宣传企业安全理念、安全知识、安全文化</w:t>
            </w:r>
          </w:p>
        </w:tc>
        <w:tc>
          <w:tcPr>
            <w:tcW w:w="1560" w:type="dxa"/>
            <w:vAlign w:val="center"/>
          </w:tcPr>
          <w:p w14:paraId="090ED71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2A95EC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728BD4B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机械标识牌、卸料平台标识牌</w:t>
            </w:r>
          </w:p>
        </w:tc>
      </w:tr>
      <w:tr w14:paraId="69569D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11E95460">
            <w:pPr>
              <w:spacing w:line="4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79</w:t>
            </w:r>
          </w:p>
        </w:tc>
        <w:tc>
          <w:tcPr>
            <w:tcW w:w="6237" w:type="dxa"/>
            <w:gridSpan w:val="2"/>
            <w:vAlign w:val="center"/>
          </w:tcPr>
          <w:p w14:paraId="1BABB72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施工现场大中型机械设备均需挂牌作业</w:t>
            </w:r>
          </w:p>
        </w:tc>
        <w:tc>
          <w:tcPr>
            <w:tcW w:w="1560" w:type="dxa"/>
            <w:vAlign w:val="center"/>
          </w:tcPr>
          <w:p w14:paraId="3D3860F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2A134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3CA090C6">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地下设施标识牌</w:t>
            </w:r>
          </w:p>
        </w:tc>
      </w:tr>
      <w:tr w14:paraId="54758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51E5C651">
            <w:pPr>
              <w:spacing w:line="4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w:t>
            </w:r>
            <w:r>
              <w:rPr>
                <w:rFonts w:ascii="仿宋" w:hAnsi="仿宋" w:eastAsia="仿宋" w:cs="宋体"/>
                <w:color w:val="auto"/>
                <w:kern w:val="0"/>
                <w:sz w:val="20"/>
                <w:szCs w:val="21"/>
                <w:highlight w:val="none"/>
              </w:rPr>
              <w:t>0</w:t>
            </w:r>
          </w:p>
        </w:tc>
        <w:tc>
          <w:tcPr>
            <w:tcW w:w="6237" w:type="dxa"/>
            <w:gridSpan w:val="2"/>
            <w:vAlign w:val="center"/>
          </w:tcPr>
          <w:p w14:paraId="7A21602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主要沿施工现场地下敷设电缆设置的警示标志牌</w:t>
            </w:r>
          </w:p>
        </w:tc>
        <w:tc>
          <w:tcPr>
            <w:tcW w:w="1560" w:type="dxa"/>
            <w:vAlign w:val="center"/>
          </w:tcPr>
          <w:p w14:paraId="0A91A02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02C8F9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6" w:type="dxa"/>
            <w:gridSpan w:val="4"/>
            <w:vAlign w:val="center"/>
          </w:tcPr>
          <w:p w14:paraId="338A9B9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材料标识牌</w:t>
            </w:r>
          </w:p>
        </w:tc>
      </w:tr>
      <w:tr w14:paraId="711DC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29E5CF67">
            <w:pPr>
              <w:spacing w:line="400" w:lineRule="exact"/>
              <w:ind w:firstLine="200" w:firstLineChars="100"/>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w:t>
            </w:r>
            <w:r>
              <w:rPr>
                <w:rFonts w:ascii="仿宋" w:hAnsi="仿宋" w:eastAsia="仿宋" w:cs="宋体"/>
                <w:color w:val="auto"/>
                <w:kern w:val="0"/>
                <w:sz w:val="20"/>
                <w:szCs w:val="21"/>
                <w:highlight w:val="none"/>
              </w:rPr>
              <w:t>1</w:t>
            </w:r>
          </w:p>
        </w:tc>
        <w:tc>
          <w:tcPr>
            <w:tcW w:w="6237" w:type="dxa"/>
            <w:gridSpan w:val="2"/>
            <w:vAlign w:val="center"/>
          </w:tcPr>
          <w:p w14:paraId="1903D48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材料标识牌用于标识材料堆场内各类材料</w:t>
            </w:r>
          </w:p>
        </w:tc>
        <w:tc>
          <w:tcPr>
            <w:tcW w:w="1560" w:type="dxa"/>
            <w:vAlign w:val="center"/>
          </w:tcPr>
          <w:p w14:paraId="21FBED51">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bl>
    <w:p w14:paraId="415D32E0">
      <w:pPr>
        <w:spacing w:line="560" w:lineRule="exact"/>
        <w:rPr>
          <w:rFonts w:ascii="仿宋" w:hAnsi="仿宋" w:eastAsia="仿宋" w:cs="宋体"/>
          <w:bCs/>
          <w:color w:val="auto"/>
          <w:szCs w:val="21"/>
          <w:highlight w:val="none"/>
        </w:rPr>
      </w:pPr>
      <w:r>
        <w:rPr>
          <w:rFonts w:ascii="仿宋" w:hAnsi="仿宋" w:eastAsia="仿宋" w:cs="宋体"/>
          <w:bCs/>
          <w:color w:val="auto"/>
          <w:szCs w:val="21"/>
          <w:highlight w:val="none"/>
        </w:rPr>
        <w:t>4</w:t>
      </w:r>
      <w:r>
        <w:rPr>
          <w:rFonts w:hint="eastAsia" w:ascii="仿宋" w:hAnsi="仿宋" w:eastAsia="仿宋" w:cs="宋体"/>
          <w:bCs/>
          <w:color w:val="auto"/>
          <w:szCs w:val="21"/>
          <w:highlight w:val="none"/>
        </w:rPr>
        <w:t>、文明施工</w:t>
      </w:r>
    </w:p>
    <w:tbl>
      <w:tblPr>
        <w:tblStyle w:val="38"/>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1"/>
        <w:gridCol w:w="6225"/>
        <w:gridCol w:w="1606"/>
      </w:tblGrid>
      <w:tr w14:paraId="39454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jc w:val="center"/>
        </w:trPr>
        <w:tc>
          <w:tcPr>
            <w:tcW w:w="691" w:type="dxa"/>
            <w:vAlign w:val="center"/>
          </w:tcPr>
          <w:p w14:paraId="35B7E728">
            <w:pPr>
              <w:spacing w:line="400" w:lineRule="exact"/>
              <w:jc w:val="center"/>
              <w:rPr>
                <w:rFonts w:ascii="仿宋" w:hAnsi="仿宋" w:eastAsia="仿宋" w:cs="宋体"/>
                <w:b/>
                <w:bCs/>
                <w:color w:val="auto"/>
                <w:kern w:val="0"/>
                <w:sz w:val="20"/>
                <w:szCs w:val="21"/>
                <w:highlight w:val="none"/>
              </w:rPr>
            </w:pPr>
            <w:r>
              <w:rPr>
                <w:rFonts w:hint="eastAsia" w:ascii="仿宋" w:hAnsi="仿宋" w:eastAsia="仿宋" w:cs="宋体"/>
                <w:b/>
                <w:color w:val="auto"/>
                <w:kern w:val="0"/>
                <w:sz w:val="20"/>
                <w:szCs w:val="21"/>
                <w:highlight w:val="none"/>
              </w:rPr>
              <w:t>序号</w:t>
            </w:r>
          </w:p>
        </w:tc>
        <w:tc>
          <w:tcPr>
            <w:tcW w:w="6225" w:type="dxa"/>
            <w:vAlign w:val="center"/>
          </w:tcPr>
          <w:p w14:paraId="791BAB36">
            <w:pPr>
              <w:spacing w:line="400" w:lineRule="exact"/>
              <w:jc w:val="center"/>
              <w:rPr>
                <w:rFonts w:ascii="仿宋" w:hAnsi="仿宋" w:eastAsia="仿宋" w:cs="宋体"/>
                <w:b/>
                <w:bCs/>
                <w:color w:val="auto"/>
                <w:kern w:val="0"/>
                <w:sz w:val="20"/>
                <w:szCs w:val="21"/>
                <w:highlight w:val="none"/>
              </w:rPr>
            </w:pPr>
            <w:r>
              <w:rPr>
                <w:rFonts w:hint="eastAsia" w:ascii="仿宋" w:hAnsi="仿宋" w:eastAsia="仿宋" w:cs="宋体"/>
                <w:b/>
                <w:color w:val="auto"/>
                <w:kern w:val="0"/>
                <w:sz w:val="20"/>
                <w:szCs w:val="21"/>
                <w:highlight w:val="none"/>
              </w:rPr>
              <w:t>检查标准</w:t>
            </w:r>
          </w:p>
        </w:tc>
        <w:tc>
          <w:tcPr>
            <w:tcW w:w="1606" w:type="dxa"/>
            <w:vAlign w:val="center"/>
          </w:tcPr>
          <w:p w14:paraId="3D00746B">
            <w:pPr>
              <w:spacing w:line="400" w:lineRule="exact"/>
              <w:jc w:val="center"/>
              <w:rPr>
                <w:rFonts w:ascii="仿宋" w:hAnsi="仿宋" w:eastAsia="仿宋" w:cs="宋体"/>
                <w:b/>
                <w:bCs/>
                <w:color w:val="auto"/>
                <w:kern w:val="0"/>
                <w:sz w:val="20"/>
                <w:szCs w:val="21"/>
                <w:highlight w:val="none"/>
              </w:rPr>
            </w:pPr>
            <w:r>
              <w:rPr>
                <w:rFonts w:hint="eastAsia" w:ascii="仿宋" w:hAnsi="仿宋" w:eastAsia="仿宋" w:cs="宋体"/>
                <w:b/>
                <w:color w:val="auto"/>
                <w:kern w:val="0"/>
                <w:sz w:val="20"/>
                <w:szCs w:val="21"/>
                <w:highlight w:val="none"/>
                <w:lang w:val="en-US" w:eastAsia="zh-CN"/>
              </w:rPr>
              <w:t>违约金</w:t>
            </w:r>
            <w:r>
              <w:rPr>
                <w:rFonts w:hint="eastAsia" w:ascii="仿宋" w:hAnsi="仿宋" w:eastAsia="仿宋" w:cs="宋体"/>
                <w:b/>
                <w:color w:val="auto"/>
                <w:kern w:val="0"/>
                <w:sz w:val="20"/>
                <w:szCs w:val="21"/>
                <w:highlight w:val="none"/>
              </w:rPr>
              <w:t>标准</w:t>
            </w:r>
          </w:p>
        </w:tc>
      </w:tr>
      <w:tr w14:paraId="52B3B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0386666E">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w:t>
            </w:r>
            <w:r>
              <w:rPr>
                <w:rFonts w:ascii="仿宋" w:hAnsi="仿宋" w:eastAsia="仿宋" w:cs="宋体"/>
                <w:color w:val="auto"/>
                <w:kern w:val="0"/>
                <w:sz w:val="20"/>
                <w:szCs w:val="21"/>
                <w:highlight w:val="none"/>
              </w:rPr>
              <w:t>2</w:t>
            </w:r>
          </w:p>
        </w:tc>
        <w:tc>
          <w:tcPr>
            <w:tcW w:w="6225" w:type="dxa"/>
            <w:vAlign w:val="center"/>
          </w:tcPr>
          <w:p w14:paraId="0BED68C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现场沿工地四周连续设置围挡。围挡材料要求坚固、稳定、统一、整洁、美观</w:t>
            </w:r>
          </w:p>
        </w:tc>
        <w:tc>
          <w:tcPr>
            <w:tcW w:w="1606" w:type="dxa"/>
            <w:vAlign w:val="center"/>
          </w:tcPr>
          <w:p w14:paraId="5674F4E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2E91C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5BB9D95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w:t>
            </w:r>
            <w:r>
              <w:rPr>
                <w:rFonts w:ascii="仿宋" w:hAnsi="仿宋" w:eastAsia="仿宋" w:cs="宋体"/>
                <w:color w:val="auto"/>
                <w:kern w:val="0"/>
                <w:sz w:val="20"/>
                <w:szCs w:val="21"/>
                <w:highlight w:val="none"/>
              </w:rPr>
              <w:t>3</w:t>
            </w:r>
          </w:p>
        </w:tc>
        <w:tc>
          <w:tcPr>
            <w:tcW w:w="6225" w:type="dxa"/>
            <w:vAlign w:val="center"/>
          </w:tcPr>
          <w:p w14:paraId="4793666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施工现场应设置良好的排水系统保持排水畅通，地面无积水：合理设置沉淀池，严禁污水未经处理直接排入城市管网和河流</w:t>
            </w:r>
          </w:p>
        </w:tc>
        <w:tc>
          <w:tcPr>
            <w:tcW w:w="1606" w:type="dxa"/>
            <w:vAlign w:val="center"/>
          </w:tcPr>
          <w:p w14:paraId="17BD84F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100~1000元/处</w:t>
            </w:r>
          </w:p>
        </w:tc>
      </w:tr>
      <w:tr w14:paraId="53B816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0EBF001A">
            <w:pPr>
              <w:spacing w:line="40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84</w:t>
            </w:r>
          </w:p>
        </w:tc>
        <w:tc>
          <w:tcPr>
            <w:tcW w:w="6225" w:type="dxa"/>
            <w:vAlign w:val="center"/>
          </w:tcPr>
          <w:p w14:paraId="4D7050F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施工现场各类工具、构件、材料的维放必须安施工现场总平面布置图堆放，布置合理，并设置明显标识牌</w:t>
            </w:r>
          </w:p>
        </w:tc>
        <w:tc>
          <w:tcPr>
            <w:tcW w:w="1606" w:type="dxa"/>
            <w:vAlign w:val="center"/>
          </w:tcPr>
          <w:p w14:paraId="1B0EC229">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0799F4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1406E39C">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w:t>
            </w:r>
            <w:r>
              <w:rPr>
                <w:rFonts w:ascii="仿宋" w:hAnsi="仿宋" w:eastAsia="仿宋" w:cs="宋体"/>
                <w:color w:val="auto"/>
                <w:kern w:val="0"/>
                <w:sz w:val="20"/>
                <w:szCs w:val="21"/>
                <w:highlight w:val="none"/>
              </w:rPr>
              <w:t>5</w:t>
            </w:r>
          </w:p>
        </w:tc>
        <w:tc>
          <w:tcPr>
            <w:tcW w:w="6225" w:type="dxa"/>
            <w:vAlign w:val="center"/>
          </w:tcPr>
          <w:p w14:paraId="68E9FFD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施工现场应做到工完料尽、场地清。建筑垃圾及时清运，临时存放于现场的也应集中堆放整齐、悬挂标牌</w:t>
            </w:r>
          </w:p>
        </w:tc>
        <w:tc>
          <w:tcPr>
            <w:tcW w:w="1606" w:type="dxa"/>
            <w:vAlign w:val="center"/>
          </w:tcPr>
          <w:p w14:paraId="77F0A3D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7E75C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0B74CBA2">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8</w:t>
            </w:r>
            <w:r>
              <w:rPr>
                <w:rFonts w:ascii="仿宋" w:hAnsi="仿宋" w:eastAsia="仿宋" w:cs="宋体"/>
                <w:color w:val="auto"/>
                <w:kern w:val="0"/>
                <w:sz w:val="20"/>
                <w:szCs w:val="21"/>
                <w:highlight w:val="none"/>
              </w:rPr>
              <w:t>6</w:t>
            </w:r>
          </w:p>
        </w:tc>
        <w:tc>
          <w:tcPr>
            <w:tcW w:w="6225" w:type="dxa"/>
            <w:vAlign w:val="center"/>
          </w:tcPr>
          <w:p w14:paraId="05EA313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各楼层内清理的垃圾不得长期堆放在楼层内，应及时运走，现场执行“随做随清，随做随净”制度</w:t>
            </w:r>
          </w:p>
        </w:tc>
        <w:tc>
          <w:tcPr>
            <w:tcW w:w="1606" w:type="dxa"/>
            <w:vAlign w:val="center"/>
          </w:tcPr>
          <w:p w14:paraId="03833D9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61A49A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3E175F1E">
            <w:pPr>
              <w:spacing w:line="40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87</w:t>
            </w:r>
          </w:p>
        </w:tc>
        <w:tc>
          <w:tcPr>
            <w:tcW w:w="6225" w:type="dxa"/>
            <w:vAlign w:val="center"/>
          </w:tcPr>
          <w:p w14:paraId="0F8756E3">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施工现场的应放在指定场所分类集中管理，安照度弃物有关规定处理</w:t>
            </w:r>
          </w:p>
        </w:tc>
        <w:tc>
          <w:tcPr>
            <w:tcW w:w="1606" w:type="dxa"/>
            <w:vAlign w:val="center"/>
          </w:tcPr>
          <w:p w14:paraId="4BE918D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04F458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4EC87D5A">
            <w:pPr>
              <w:spacing w:line="40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88</w:t>
            </w:r>
          </w:p>
        </w:tc>
        <w:tc>
          <w:tcPr>
            <w:tcW w:w="6225" w:type="dxa"/>
            <w:vAlign w:val="center"/>
          </w:tcPr>
          <w:p w14:paraId="0173C232">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晚20时至早60时属于夜间施工期间，应按规定办理有关手续</w:t>
            </w:r>
          </w:p>
        </w:tc>
        <w:tc>
          <w:tcPr>
            <w:tcW w:w="1606" w:type="dxa"/>
            <w:vAlign w:val="center"/>
          </w:tcPr>
          <w:p w14:paraId="5CF359E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3A0667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17E6CD02">
            <w:pPr>
              <w:spacing w:line="40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89</w:t>
            </w:r>
          </w:p>
        </w:tc>
        <w:tc>
          <w:tcPr>
            <w:tcW w:w="6225" w:type="dxa"/>
            <w:vAlign w:val="center"/>
          </w:tcPr>
          <w:p w14:paraId="331D5A76">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施工作业时不准抽烟，严禁喝酒</w:t>
            </w:r>
          </w:p>
        </w:tc>
        <w:tc>
          <w:tcPr>
            <w:tcW w:w="1606" w:type="dxa"/>
            <w:vAlign w:val="center"/>
          </w:tcPr>
          <w:p w14:paraId="1371279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500元/次</w:t>
            </w:r>
          </w:p>
        </w:tc>
      </w:tr>
      <w:tr w14:paraId="31551D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3A920199">
            <w:pPr>
              <w:spacing w:line="40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90</w:t>
            </w:r>
          </w:p>
        </w:tc>
        <w:tc>
          <w:tcPr>
            <w:tcW w:w="6225" w:type="dxa"/>
            <w:vAlign w:val="center"/>
          </w:tcPr>
          <w:p w14:paraId="1E9EFB0D">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机电设备，器具必须由专人使用，看管、保护：非机电人员不准乱开机电设备及机具</w:t>
            </w:r>
          </w:p>
        </w:tc>
        <w:tc>
          <w:tcPr>
            <w:tcW w:w="1606" w:type="dxa"/>
            <w:vAlign w:val="center"/>
          </w:tcPr>
          <w:p w14:paraId="495BC3C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500元/人/次</w:t>
            </w:r>
          </w:p>
        </w:tc>
      </w:tr>
      <w:tr w14:paraId="1BBED5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194F2795">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w:t>
            </w:r>
            <w:r>
              <w:rPr>
                <w:rFonts w:ascii="仿宋" w:hAnsi="仿宋" w:eastAsia="仿宋" w:cs="宋体"/>
                <w:color w:val="auto"/>
                <w:kern w:val="0"/>
                <w:sz w:val="20"/>
                <w:szCs w:val="21"/>
                <w:highlight w:val="none"/>
              </w:rPr>
              <w:t>1</w:t>
            </w:r>
          </w:p>
        </w:tc>
        <w:tc>
          <w:tcPr>
            <w:tcW w:w="6225" w:type="dxa"/>
            <w:vAlign w:val="center"/>
          </w:tcPr>
          <w:p w14:paraId="150863C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操作人员，要保持施工机具洁净，保持施工现场清洁，整齐</w:t>
            </w:r>
          </w:p>
        </w:tc>
        <w:tc>
          <w:tcPr>
            <w:tcW w:w="1606" w:type="dxa"/>
            <w:vAlign w:val="center"/>
          </w:tcPr>
          <w:p w14:paraId="44B7938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52069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469AA91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w:t>
            </w:r>
            <w:r>
              <w:rPr>
                <w:rFonts w:ascii="仿宋" w:hAnsi="仿宋" w:eastAsia="仿宋" w:cs="宋体"/>
                <w:color w:val="auto"/>
                <w:kern w:val="0"/>
                <w:sz w:val="20"/>
                <w:szCs w:val="21"/>
                <w:highlight w:val="none"/>
              </w:rPr>
              <w:t>2</w:t>
            </w:r>
          </w:p>
        </w:tc>
        <w:tc>
          <w:tcPr>
            <w:tcW w:w="6225" w:type="dxa"/>
            <w:vAlign w:val="center"/>
          </w:tcPr>
          <w:p w14:paraId="2B5385D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任何情况下，</w:t>
            </w:r>
            <w:r>
              <w:rPr>
                <w:rFonts w:hint="eastAsia" w:ascii="仿宋" w:hAnsi="仿宋" w:eastAsia="仿宋" w:cs="宋体"/>
                <w:color w:val="auto"/>
                <w:kern w:val="0"/>
                <w:sz w:val="20"/>
                <w:szCs w:val="21"/>
                <w:highlight w:val="none"/>
                <w:lang w:eastAsia="zh-CN"/>
              </w:rPr>
              <w:t>总承包人</w:t>
            </w:r>
            <w:r>
              <w:rPr>
                <w:rFonts w:hint="eastAsia" w:ascii="仿宋" w:hAnsi="仿宋" w:eastAsia="仿宋" w:cs="宋体"/>
                <w:color w:val="auto"/>
                <w:kern w:val="0"/>
                <w:sz w:val="20"/>
                <w:szCs w:val="21"/>
                <w:highlight w:val="none"/>
              </w:rPr>
              <w:t>雇工及工作人员不得在</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场所(包括但不限于施工现场、销售现场、办公场所等)闹事或发表损害</w:t>
            </w:r>
            <w:r>
              <w:rPr>
                <w:rFonts w:hint="eastAsia" w:ascii="仿宋" w:hAnsi="仿宋" w:eastAsia="仿宋" w:cs="宋体"/>
                <w:color w:val="auto"/>
                <w:kern w:val="0"/>
                <w:sz w:val="20"/>
                <w:szCs w:val="21"/>
                <w:highlight w:val="none"/>
                <w:lang w:eastAsia="zh-CN"/>
              </w:rPr>
              <w:t>发包人</w:t>
            </w:r>
            <w:r>
              <w:rPr>
                <w:rFonts w:hint="eastAsia" w:ascii="仿宋" w:hAnsi="仿宋" w:eastAsia="仿宋" w:cs="宋体"/>
                <w:color w:val="auto"/>
                <w:kern w:val="0"/>
                <w:sz w:val="20"/>
                <w:szCs w:val="21"/>
                <w:highlight w:val="none"/>
              </w:rPr>
              <w:t>声誉的言论。</w:t>
            </w:r>
          </w:p>
        </w:tc>
        <w:tc>
          <w:tcPr>
            <w:tcW w:w="1606" w:type="dxa"/>
            <w:vAlign w:val="center"/>
          </w:tcPr>
          <w:p w14:paraId="33329A1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合同结算总价的10%/次</w:t>
            </w:r>
          </w:p>
        </w:tc>
      </w:tr>
      <w:tr w14:paraId="02F26F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3"/>
            <w:vAlign w:val="center"/>
          </w:tcPr>
          <w:p w14:paraId="107DBE57">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工地大门(需符合当地住建局要求)</w:t>
            </w:r>
          </w:p>
        </w:tc>
      </w:tr>
      <w:tr w14:paraId="61E3C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4E053D1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w:t>
            </w:r>
            <w:r>
              <w:rPr>
                <w:rFonts w:ascii="仿宋" w:hAnsi="仿宋" w:eastAsia="仿宋" w:cs="宋体"/>
                <w:color w:val="auto"/>
                <w:kern w:val="0"/>
                <w:sz w:val="20"/>
                <w:szCs w:val="21"/>
                <w:highlight w:val="none"/>
              </w:rPr>
              <w:t>3</w:t>
            </w:r>
          </w:p>
        </w:tc>
        <w:tc>
          <w:tcPr>
            <w:tcW w:w="6225" w:type="dxa"/>
            <w:vAlign w:val="center"/>
          </w:tcPr>
          <w:p w14:paraId="3CDF0CE0">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市区主要路段和其他涉及市容景观路段的工地围挡高度不低于2.4，其他工地围挡的高度不低于1.8m</w:t>
            </w:r>
          </w:p>
        </w:tc>
        <w:tc>
          <w:tcPr>
            <w:tcW w:w="1606" w:type="dxa"/>
            <w:vAlign w:val="center"/>
          </w:tcPr>
          <w:p w14:paraId="7CB7A92B">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57B71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057BD6E6">
            <w:pPr>
              <w:spacing w:line="40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94</w:t>
            </w:r>
          </w:p>
        </w:tc>
        <w:tc>
          <w:tcPr>
            <w:tcW w:w="6225" w:type="dxa"/>
            <w:vAlign w:val="center"/>
          </w:tcPr>
          <w:p w14:paraId="37FA10A8">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工现场应设置大门，大门宽度不小于6m，门头应有企业的形象标志，采用门楼式大门时大门的高度不小于5m</w:t>
            </w:r>
          </w:p>
        </w:tc>
        <w:tc>
          <w:tcPr>
            <w:tcW w:w="1606" w:type="dxa"/>
            <w:vAlign w:val="center"/>
          </w:tcPr>
          <w:p w14:paraId="1DCA684A">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4AD99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3"/>
            <w:vAlign w:val="center"/>
          </w:tcPr>
          <w:p w14:paraId="17FE9CBD">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门卫室(需符合当地住建局要求)</w:t>
            </w:r>
          </w:p>
        </w:tc>
      </w:tr>
      <w:tr w14:paraId="3FDF0D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15C5A0E0">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w:t>
            </w:r>
            <w:r>
              <w:rPr>
                <w:rFonts w:ascii="仿宋" w:hAnsi="仿宋" w:eastAsia="仿宋" w:cs="宋体"/>
                <w:color w:val="auto"/>
                <w:kern w:val="0"/>
                <w:sz w:val="20"/>
                <w:szCs w:val="21"/>
                <w:highlight w:val="none"/>
              </w:rPr>
              <w:t>5</w:t>
            </w:r>
          </w:p>
        </w:tc>
        <w:tc>
          <w:tcPr>
            <w:tcW w:w="6225" w:type="dxa"/>
            <w:vAlign w:val="center"/>
          </w:tcPr>
          <w:p w14:paraId="5472806F">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施工现场应建立治安保卫制度，应分工明确，有专人负责检查落实</w:t>
            </w:r>
          </w:p>
        </w:tc>
        <w:tc>
          <w:tcPr>
            <w:tcW w:w="1606" w:type="dxa"/>
            <w:vAlign w:val="center"/>
          </w:tcPr>
          <w:p w14:paraId="12D916B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7837D0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4511EF33">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9</w:t>
            </w:r>
            <w:r>
              <w:rPr>
                <w:rFonts w:ascii="仿宋" w:hAnsi="仿宋" w:eastAsia="仿宋" w:cs="宋体"/>
                <w:color w:val="auto"/>
                <w:kern w:val="0"/>
                <w:sz w:val="20"/>
                <w:szCs w:val="21"/>
                <w:highlight w:val="none"/>
              </w:rPr>
              <w:t>6</w:t>
            </w:r>
          </w:p>
        </w:tc>
        <w:tc>
          <w:tcPr>
            <w:tcW w:w="6225" w:type="dxa"/>
            <w:vAlign w:val="center"/>
          </w:tcPr>
          <w:p w14:paraId="683CF5DE">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大门处应设门卫室实行人员车辆登记和门卫交接制度，严禁无关人员进入施工现场，工作人员进入施工现场应佩戴工作卡，工作卡应佩戴整齐</w:t>
            </w:r>
          </w:p>
        </w:tc>
        <w:tc>
          <w:tcPr>
            <w:tcW w:w="1606" w:type="dxa"/>
            <w:vAlign w:val="center"/>
          </w:tcPr>
          <w:p w14:paraId="301B6594">
            <w:pPr>
              <w:spacing w:line="40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3200F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3"/>
            <w:vAlign w:val="center"/>
          </w:tcPr>
          <w:p w14:paraId="127BC7DB">
            <w:pPr>
              <w:spacing w:line="40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冲洗设施(可参考)</w:t>
            </w:r>
          </w:p>
        </w:tc>
      </w:tr>
      <w:tr w14:paraId="50F87E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35B8B632">
            <w:pPr>
              <w:spacing w:line="32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97</w:t>
            </w:r>
          </w:p>
        </w:tc>
        <w:tc>
          <w:tcPr>
            <w:tcW w:w="6225" w:type="dxa"/>
            <w:vAlign w:val="center"/>
          </w:tcPr>
          <w:p w14:paraId="781DF918">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工现场必须设置洗车池(洗车槽)和沉淀池，配置高压水枪，对进出车辆进行冲洗</w:t>
            </w:r>
          </w:p>
        </w:tc>
        <w:tc>
          <w:tcPr>
            <w:tcW w:w="1606" w:type="dxa"/>
            <w:vAlign w:val="center"/>
          </w:tcPr>
          <w:p w14:paraId="6B62A73F">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500元/处</w:t>
            </w:r>
          </w:p>
        </w:tc>
      </w:tr>
      <w:tr w14:paraId="0B242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060F4B6F">
            <w:pPr>
              <w:spacing w:line="32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98</w:t>
            </w:r>
          </w:p>
        </w:tc>
        <w:tc>
          <w:tcPr>
            <w:tcW w:w="6225" w:type="dxa"/>
            <w:vAlign w:val="center"/>
          </w:tcPr>
          <w:p w14:paraId="589D81CF">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洗车池应设在工地内距大门1m处深度不小于30m，冲洗槽两端向内倾斜,冲洗槽与大门同宽</w:t>
            </w:r>
          </w:p>
        </w:tc>
        <w:tc>
          <w:tcPr>
            <w:tcW w:w="1606" w:type="dxa"/>
            <w:vAlign w:val="center"/>
          </w:tcPr>
          <w:p w14:paraId="3188AAD5">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37D63E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3"/>
            <w:vAlign w:val="center"/>
          </w:tcPr>
          <w:p w14:paraId="3F2E8F8F">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工地导向牌</w:t>
            </w:r>
          </w:p>
        </w:tc>
      </w:tr>
      <w:tr w14:paraId="244218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7B14093C">
            <w:pPr>
              <w:spacing w:line="32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99</w:t>
            </w:r>
          </w:p>
        </w:tc>
        <w:tc>
          <w:tcPr>
            <w:tcW w:w="6225" w:type="dxa"/>
            <w:vAlign w:val="center"/>
          </w:tcPr>
          <w:p w14:paraId="57C45582">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施工现场应在工地路口位置设置导向牌</w:t>
            </w:r>
          </w:p>
        </w:tc>
        <w:tc>
          <w:tcPr>
            <w:tcW w:w="1606" w:type="dxa"/>
            <w:vAlign w:val="center"/>
          </w:tcPr>
          <w:p w14:paraId="206610C2">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2BC43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4930F72E">
            <w:pPr>
              <w:spacing w:line="320" w:lineRule="exact"/>
              <w:jc w:val="center"/>
              <w:rPr>
                <w:rFonts w:ascii="仿宋" w:hAnsi="仿宋" w:eastAsia="仿宋" w:cs="宋体"/>
                <w:color w:val="auto"/>
                <w:kern w:val="0"/>
                <w:sz w:val="20"/>
                <w:szCs w:val="21"/>
                <w:highlight w:val="none"/>
              </w:rPr>
            </w:pPr>
            <w:r>
              <w:rPr>
                <w:rFonts w:ascii="仿宋" w:hAnsi="仿宋" w:eastAsia="仿宋" w:cs="宋体"/>
                <w:color w:val="auto"/>
                <w:kern w:val="0"/>
                <w:sz w:val="20"/>
                <w:szCs w:val="21"/>
                <w:highlight w:val="none"/>
              </w:rPr>
              <w:t>100</w:t>
            </w:r>
          </w:p>
        </w:tc>
        <w:tc>
          <w:tcPr>
            <w:tcW w:w="6225" w:type="dxa"/>
            <w:vAlign w:val="center"/>
          </w:tcPr>
          <w:p w14:paraId="58C59EA7">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牌面尺寸550mm*700mm</w:t>
            </w:r>
          </w:p>
        </w:tc>
        <w:tc>
          <w:tcPr>
            <w:tcW w:w="1606" w:type="dxa"/>
            <w:vAlign w:val="center"/>
          </w:tcPr>
          <w:p w14:paraId="3191CC48">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C0BF9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3"/>
            <w:vAlign w:val="center"/>
          </w:tcPr>
          <w:p w14:paraId="7B14803C">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现场防火</w:t>
            </w:r>
          </w:p>
        </w:tc>
      </w:tr>
      <w:tr w14:paraId="4D548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5369FDEA">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w:t>
            </w:r>
            <w:r>
              <w:rPr>
                <w:rFonts w:ascii="仿宋" w:hAnsi="仿宋" w:eastAsia="仿宋" w:cs="宋体"/>
                <w:color w:val="auto"/>
                <w:kern w:val="0"/>
                <w:sz w:val="20"/>
                <w:szCs w:val="21"/>
                <w:highlight w:val="none"/>
              </w:rPr>
              <w:t>1</w:t>
            </w:r>
          </w:p>
        </w:tc>
        <w:tc>
          <w:tcPr>
            <w:tcW w:w="6225" w:type="dxa"/>
            <w:vAlign w:val="center"/>
          </w:tcPr>
          <w:p w14:paraId="2FF6CF34">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施工现场应制定消防管理制度并成立领导小组</w:t>
            </w:r>
          </w:p>
        </w:tc>
        <w:tc>
          <w:tcPr>
            <w:tcW w:w="1606" w:type="dxa"/>
            <w:vAlign w:val="center"/>
          </w:tcPr>
          <w:p w14:paraId="7C568D2B">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w:t>
            </w:r>
          </w:p>
        </w:tc>
      </w:tr>
      <w:tr w14:paraId="07CFC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78847029">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w:t>
            </w:r>
            <w:r>
              <w:rPr>
                <w:rFonts w:ascii="仿宋" w:hAnsi="仿宋" w:eastAsia="仿宋" w:cs="宋体"/>
                <w:color w:val="auto"/>
                <w:kern w:val="0"/>
                <w:sz w:val="20"/>
                <w:szCs w:val="21"/>
                <w:highlight w:val="none"/>
              </w:rPr>
              <w:t>2</w:t>
            </w:r>
          </w:p>
        </w:tc>
        <w:tc>
          <w:tcPr>
            <w:tcW w:w="6225" w:type="dxa"/>
            <w:vAlign w:val="center"/>
          </w:tcPr>
          <w:p w14:paraId="66FA2C50">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施工现场应绘制消防平面布置图、仓库、配电室(箱)、材料加工区等易燃易爆场所必须配置相应的消防器材，并有专人负责，消防器材应定期检查，确保完好有效</w:t>
            </w:r>
          </w:p>
        </w:tc>
        <w:tc>
          <w:tcPr>
            <w:tcW w:w="1606" w:type="dxa"/>
            <w:vAlign w:val="center"/>
          </w:tcPr>
          <w:p w14:paraId="28E95FB0">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15671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0FE034D5">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w:t>
            </w:r>
            <w:r>
              <w:rPr>
                <w:rFonts w:ascii="仿宋" w:hAnsi="仿宋" w:eastAsia="仿宋" w:cs="宋体"/>
                <w:color w:val="auto"/>
                <w:kern w:val="0"/>
                <w:sz w:val="20"/>
                <w:szCs w:val="21"/>
                <w:highlight w:val="none"/>
              </w:rPr>
              <w:t>3</w:t>
            </w:r>
          </w:p>
        </w:tc>
        <w:tc>
          <w:tcPr>
            <w:tcW w:w="6225" w:type="dxa"/>
            <w:vAlign w:val="center"/>
          </w:tcPr>
          <w:p w14:paraId="73F8E238">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建筑物每层应配备消防设立高层建筑(30m及以上)应随层做消防水源管(2寸管，设加压泵，留消防水源接口)每层应留有消防水源接口，配备足够灭火器、管具，位置准确、固定可靠</w:t>
            </w:r>
          </w:p>
        </w:tc>
        <w:tc>
          <w:tcPr>
            <w:tcW w:w="1606" w:type="dxa"/>
            <w:vAlign w:val="center"/>
          </w:tcPr>
          <w:p w14:paraId="5E253AEC">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1B313D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55D4CCAE">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w:t>
            </w:r>
            <w:r>
              <w:rPr>
                <w:rFonts w:ascii="仿宋" w:hAnsi="仿宋" w:eastAsia="仿宋" w:cs="宋体"/>
                <w:color w:val="auto"/>
                <w:kern w:val="0"/>
                <w:sz w:val="20"/>
                <w:szCs w:val="21"/>
                <w:highlight w:val="none"/>
              </w:rPr>
              <w:t>4</w:t>
            </w:r>
          </w:p>
        </w:tc>
        <w:tc>
          <w:tcPr>
            <w:tcW w:w="6225" w:type="dxa"/>
            <w:vAlign w:val="center"/>
          </w:tcPr>
          <w:p w14:paraId="42CD4D25">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现场动用明火必须办理审批手续，并有人员监护</w:t>
            </w:r>
          </w:p>
        </w:tc>
        <w:tc>
          <w:tcPr>
            <w:tcW w:w="1606" w:type="dxa"/>
            <w:vAlign w:val="center"/>
          </w:tcPr>
          <w:p w14:paraId="297711F7">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67BAC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281E307A">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105</w:t>
            </w:r>
          </w:p>
        </w:tc>
        <w:tc>
          <w:tcPr>
            <w:tcW w:w="6225" w:type="dxa"/>
            <w:vAlign w:val="center"/>
          </w:tcPr>
          <w:p w14:paraId="2558E978">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施工现场应制定易燃易爆及有毒物品管理制度购领、管、发放、作业等环节应应设专人负责并建立台帐</w:t>
            </w:r>
          </w:p>
        </w:tc>
        <w:tc>
          <w:tcPr>
            <w:tcW w:w="1606" w:type="dxa"/>
            <w:vAlign w:val="center"/>
          </w:tcPr>
          <w:p w14:paraId="5F9EFD73">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300元/处</w:t>
            </w:r>
          </w:p>
        </w:tc>
      </w:tr>
      <w:tr w14:paraId="78AF9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3"/>
            <w:vAlign w:val="center"/>
          </w:tcPr>
          <w:p w14:paraId="299DED27">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现场综合治理与保健急救</w:t>
            </w:r>
          </w:p>
        </w:tc>
      </w:tr>
      <w:tr w14:paraId="1A88A7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6629E33E">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w:t>
            </w:r>
            <w:r>
              <w:rPr>
                <w:rFonts w:ascii="仿宋" w:hAnsi="仿宋" w:eastAsia="仿宋" w:cs="宋体"/>
                <w:color w:val="auto"/>
                <w:kern w:val="0"/>
                <w:sz w:val="20"/>
                <w:szCs w:val="21"/>
                <w:highlight w:val="none"/>
              </w:rPr>
              <w:t>6</w:t>
            </w:r>
          </w:p>
        </w:tc>
        <w:tc>
          <w:tcPr>
            <w:tcW w:w="6225" w:type="dxa"/>
            <w:vAlign w:val="center"/>
          </w:tcPr>
          <w:p w14:paraId="76F9CEE5">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施工现场应做好治安工作，防止发生群殴事件</w:t>
            </w:r>
          </w:p>
        </w:tc>
        <w:tc>
          <w:tcPr>
            <w:tcW w:w="1606" w:type="dxa"/>
            <w:vAlign w:val="center"/>
          </w:tcPr>
          <w:p w14:paraId="10A9703D">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1000元/处</w:t>
            </w:r>
          </w:p>
        </w:tc>
      </w:tr>
      <w:tr w14:paraId="255A76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62720B9B">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w:t>
            </w:r>
            <w:r>
              <w:rPr>
                <w:rFonts w:ascii="仿宋" w:hAnsi="仿宋" w:eastAsia="仿宋" w:cs="宋体"/>
                <w:color w:val="auto"/>
                <w:kern w:val="0"/>
                <w:sz w:val="20"/>
                <w:szCs w:val="21"/>
                <w:highlight w:val="none"/>
              </w:rPr>
              <w:t>07</w:t>
            </w:r>
          </w:p>
        </w:tc>
        <w:tc>
          <w:tcPr>
            <w:tcW w:w="6225" w:type="dxa"/>
            <w:vAlign w:val="center"/>
          </w:tcPr>
          <w:p w14:paraId="41DBD8FB">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施工现场应建立防御担架应急预案，发现疫情及时向卫生行政主管部门和建设行政主管部门报告，并采取有效处理措施</w:t>
            </w:r>
          </w:p>
        </w:tc>
        <w:tc>
          <w:tcPr>
            <w:tcW w:w="1606" w:type="dxa"/>
            <w:vAlign w:val="center"/>
          </w:tcPr>
          <w:p w14:paraId="4BE22372">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300元/次</w:t>
            </w:r>
          </w:p>
        </w:tc>
      </w:tr>
      <w:tr w14:paraId="29D57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1" w:type="dxa"/>
            <w:vAlign w:val="center"/>
          </w:tcPr>
          <w:p w14:paraId="4CC53319">
            <w:pPr>
              <w:spacing w:line="320" w:lineRule="exact"/>
              <w:jc w:val="center"/>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1</w:t>
            </w:r>
            <w:r>
              <w:rPr>
                <w:rFonts w:ascii="仿宋" w:hAnsi="仿宋" w:eastAsia="仿宋" w:cs="宋体"/>
                <w:color w:val="auto"/>
                <w:kern w:val="0"/>
                <w:sz w:val="20"/>
                <w:szCs w:val="21"/>
                <w:highlight w:val="none"/>
              </w:rPr>
              <w:t>08</w:t>
            </w:r>
          </w:p>
        </w:tc>
        <w:tc>
          <w:tcPr>
            <w:tcW w:w="6225" w:type="dxa"/>
            <w:vAlign w:val="center"/>
          </w:tcPr>
          <w:p w14:paraId="5F226E92">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工现场必须备有止血药、带及其他常用药品及保健药箱(箱内配备一些工地常用药品）和急救器材</w:t>
            </w:r>
          </w:p>
        </w:tc>
        <w:tc>
          <w:tcPr>
            <w:tcW w:w="1606" w:type="dxa"/>
            <w:vAlign w:val="center"/>
          </w:tcPr>
          <w:p w14:paraId="0ACEB632">
            <w:pPr>
              <w:spacing w:line="320" w:lineRule="exact"/>
              <w:rPr>
                <w:rFonts w:ascii="仿宋" w:hAnsi="仿宋" w:eastAsia="仿宋" w:cs="宋体"/>
                <w:color w:val="auto"/>
                <w:kern w:val="0"/>
                <w:sz w:val="20"/>
                <w:szCs w:val="21"/>
                <w:highlight w:val="none"/>
              </w:rPr>
            </w:pPr>
            <w:r>
              <w:rPr>
                <w:rFonts w:hint="eastAsia" w:ascii="仿宋" w:hAnsi="仿宋" w:eastAsia="仿宋" w:cs="宋体"/>
                <w:color w:val="auto"/>
                <w:kern w:val="0"/>
                <w:sz w:val="20"/>
                <w:szCs w:val="21"/>
                <w:highlight w:val="none"/>
              </w:rPr>
              <w:t>300元</w:t>
            </w:r>
          </w:p>
        </w:tc>
      </w:tr>
    </w:tbl>
    <w:p w14:paraId="08DF2E74">
      <w:pPr>
        <w:spacing w:line="360" w:lineRule="auto"/>
        <w:jc w:val="left"/>
        <w:outlineLvl w:val="1"/>
        <w:rPr>
          <w:rFonts w:ascii="仿宋" w:hAnsi="仿宋" w:eastAsia="仿宋"/>
          <w:b/>
          <w:bCs/>
          <w:color w:val="auto"/>
          <w:kern w:val="0"/>
          <w:sz w:val="24"/>
          <w:szCs w:val="24"/>
          <w:highlight w:val="none"/>
        </w:rPr>
      </w:pPr>
      <w:bookmarkStart w:id="38" w:name="_Toc17162"/>
      <w:r>
        <w:rPr>
          <w:rFonts w:hint="eastAsia" w:ascii="仿宋" w:hAnsi="仿宋" w:eastAsia="仿宋"/>
          <w:b/>
          <w:bCs/>
          <w:color w:val="auto"/>
          <w:kern w:val="0"/>
          <w:sz w:val="24"/>
          <w:szCs w:val="24"/>
          <w:highlight w:val="none"/>
        </w:rPr>
        <w:t xml:space="preserve">第四条 </w:t>
      </w:r>
      <w:r>
        <w:rPr>
          <w:rFonts w:ascii="仿宋" w:hAnsi="仿宋" w:eastAsia="仿宋"/>
          <w:b/>
          <w:bCs/>
          <w:color w:val="auto"/>
          <w:kern w:val="0"/>
          <w:sz w:val="24"/>
          <w:szCs w:val="24"/>
          <w:highlight w:val="none"/>
        </w:rPr>
        <w:t xml:space="preserve"> 期限整改</w:t>
      </w:r>
      <w:bookmarkEnd w:id="38"/>
    </w:p>
    <w:p w14:paraId="77DFD958">
      <w:pPr>
        <w:spacing w:line="360" w:lineRule="auto"/>
        <w:ind w:firstLine="420" w:firstLineChars="200"/>
        <w:rPr>
          <w:rFonts w:ascii="仿宋" w:hAnsi="仿宋" w:eastAsia="仿宋" w:cs="宋体"/>
          <w:color w:val="auto"/>
          <w:szCs w:val="21"/>
          <w:highlight w:val="none"/>
        </w:rPr>
      </w:pPr>
      <w:r>
        <w:rPr>
          <w:rFonts w:hint="eastAsia" w:ascii="仿宋" w:hAnsi="仿宋" w:eastAsia="仿宋" w:cs="宋体"/>
          <w:bCs/>
          <w:color w:val="auto"/>
          <w:szCs w:val="21"/>
          <w:highlight w:val="none"/>
        </w:rPr>
        <w:t>1、</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在组织施工过程中，必须遵照国家颁发的施工验收规范、质量检验标准、安全规范标准以及设计要求组织施工。对不符合规范及标准的分部分项工程，</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必须返工整改直至符合验收标准为止。</w:t>
      </w:r>
    </w:p>
    <w:p w14:paraId="36C31F95">
      <w:pPr>
        <w:spacing w:line="360" w:lineRule="auto"/>
        <w:ind w:firstLine="420" w:firstLineChars="200"/>
        <w:rPr>
          <w:rFonts w:ascii="仿宋" w:hAnsi="仿宋" w:eastAsia="仿宋" w:cs="宋体"/>
          <w:color w:val="auto"/>
          <w:szCs w:val="21"/>
          <w:highlight w:val="none"/>
        </w:rPr>
      </w:pPr>
      <w:r>
        <w:rPr>
          <w:rFonts w:hint="eastAsia" w:ascii="仿宋" w:hAnsi="仿宋" w:eastAsia="仿宋" w:cs="宋体"/>
          <w:bCs/>
          <w:color w:val="auto"/>
          <w:szCs w:val="21"/>
          <w:highlight w:val="none"/>
        </w:rPr>
        <w:t>2、</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违反本细则各项规定，</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w:t>
      </w:r>
      <w:r>
        <w:rPr>
          <w:rFonts w:hint="eastAsia" w:ascii="仿宋" w:hAnsi="仿宋" w:eastAsia="仿宋" w:cs="宋体"/>
          <w:color w:val="auto"/>
          <w:szCs w:val="21"/>
          <w:highlight w:val="none"/>
          <w:lang w:val="en-US" w:eastAsia="zh-CN"/>
        </w:rPr>
        <w:t>代建管理单位、</w:t>
      </w:r>
      <w:r>
        <w:rPr>
          <w:rFonts w:hint="eastAsia" w:ascii="仿宋" w:hAnsi="仿宋" w:eastAsia="仿宋" w:cs="宋体"/>
          <w:color w:val="auto"/>
          <w:szCs w:val="21"/>
          <w:highlight w:val="none"/>
        </w:rPr>
        <w:t>监理单位皆得有权</w:t>
      </w:r>
      <w:r>
        <w:rPr>
          <w:rFonts w:hint="eastAsia" w:ascii="仿宋" w:hAnsi="仿宋" w:eastAsia="仿宋" w:cs="宋体"/>
          <w:color w:val="auto"/>
          <w:szCs w:val="21"/>
          <w:highlight w:val="none"/>
          <w:lang w:val="en-US" w:eastAsia="zh-CN"/>
        </w:rPr>
        <w:t>给予</w:t>
      </w:r>
      <w:r>
        <w:rPr>
          <w:rFonts w:hint="eastAsia" w:ascii="仿宋" w:hAnsi="仿宋" w:eastAsia="仿宋" w:cs="宋体"/>
          <w:color w:val="auto"/>
          <w:szCs w:val="21"/>
          <w:highlight w:val="none"/>
        </w:rPr>
        <w:t>口头警告及下发限期整改通知单</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w:t>
      </w:r>
      <w:r>
        <w:rPr>
          <w:rFonts w:hint="eastAsia" w:ascii="仿宋" w:hAnsi="仿宋" w:eastAsia="仿宋" w:cs="宋体"/>
          <w:color w:val="auto"/>
          <w:szCs w:val="21"/>
          <w:highlight w:val="none"/>
          <w:lang w:val="en-US" w:eastAsia="zh-CN"/>
        </w:rPr>
        <w:t>代建管理单位</w:t>
      </w:r>
      <w:r>
        <w:rPr>
          <w:rFonts w:hint="eastAsia" w:ascii="仿宋" w:hAnsi="仿宋" w:eastAsia="仿宋" w:cs="宋体"/>
          <w:color w:val="auto"/>
          <w:szCs w:val="21"/>
          <w:highlight w:val="none"/>
        </w:rPr>
        <w:t>有权依照本细则向</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发出</w:t>
      </w:r>
      <w:r>
        <w:rPr>
          <w:rFonts w:hint="eastAsia" w:ascii="仿宋" w:hAnsi="仿宋" w:eastAsia="仿宋" w:cs="宋体"/>
          <w:color w:val="auto"/>
          <w:szCs w:val="21"/>
          <w:highlight w:val="none"/>
          <w:lang w:val="en-US" w:eastAsia="zh-CN"/>
        </w:rPr>
        <w:t>支付违约金</w:t>
      </w:r>
      <w:r>
        <w:rPr>
          <w:rFonts w:hint="eastAsia" w:ascii="仿宋" w:hAnsi="仿宋" w:eastAsia="仿宋" w:cs="宋体"/>
          <w:color w:val="auto"/>
          <w:szCs w:val="21"/>
          <w:highlight w:val="none"/>
        </w:rPr>
        <w:t>通知单，整改通知单于施工现场公示的仍视为整改通知已送达。</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在收到通知单后必须按期完成整改，整改完毕后，由</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书面通知</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及监理进行复检，直到合格为止。若</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lang w:val="en-US" w:eastAsia="zh-CN"/>
        </w:rPr>
        <w:t>代建管理单位</w:t>
      </w:r>
      <w:r>
        <w:rPr>
          <w:rFonts w:hint="eastAsia" w:ascii="仿宋" w:hAnsi="仿宋" w:eastAsia="仿宋" w:cs="宋体"/>
          <w:color w:val="auto"/>
          <w:szCs w:val="21"/>
          <w:highlight w:val="none"/>
        </w:rPr>
        <w:t>或监理到期未收到</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复检通知，或发现</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没有进行整改又没有提出合理解释的，则</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有权加倍处以罚款并有权顺延支付当期进度款直至整改合格。若经</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lang w:val="en-US" w:eastAsia="zh-CN"/>
        </w:rPr>
        <w:t>代建管理单位</w:t>
      </w:r>
      <w:r>
        <w:rPr>
          <w:rFonts w:hint="eastAsia" w:ascii="仿宋" w:hAnsi="仿宋" w:eastAsia="仿宋" w:cs="宋体"/>
          <w:color w:val="auto"/>
          <w:szCs w:val="21"/>
          <w:highlight w:val="none"/>
        </w:rPr>
        <w:t>、监理单位两次通知整改后，</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仍不整改或逾期整改或两次整改仍不合格的，则</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有权自行聘请第三方进行整改，由此产生的一切整改费用由</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承担，</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有权直接从应付工程款中扣除，不足抵扣部分</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有权向</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追偿。由监理单位下发整改通知单的，整改通知单应当抄送</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，且监理单位无权未经</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确认即自行收取</w:t>
      </w:r>
      <w:r>
        <w:rPr>
          <w:rFonts w:hint="eastAsia" w:ascii="仿宋" w:hAnsi="仿宋" w:eastAsia="仿宋" w:cs="宋体"/>
          <w:color w:val="auto"/>
          <w:szCs w:val="21"/>
          <w:highlight w:val="none"/>
          <w:lang w:val="en-US" w:eastAsia="zh-CN"/>
        </w:rPr>
        <w:t>违约金</w:t>
      </w:r>
      <w:r>
        <w:rPr>
          <w:rFonts w:hint="eastAsia" w:ascii="仿宋" w:hAnsi="仿宋" w:eastAsia="仿宋" w:cs="宋体"/>
          <w:color w:val="auto"/>
          <w:szCs w:val="21"/>
          <w:highlight w:val="none"/>
        </w:rPr>
        <w:t>。</w:t>
      </w:r>
    </w:p>
    <w:p w14:paraId="67C283F8">
      <w:pPr>
        <w:spacing w:line="360" w:lineRule="auto"/>
        <w:ind w:firstLine="420" w:firstLineChars="200"/>
        <w:rPr>
          <w:rFonts w:ascii="仿宋" w:hAnsi="仿宋" w:eastAsia="仿宋" w:cs="宋体"/>
          <w:color w:val="auto"/>
          <w:szCs w:val="21"/>
          <w:highlight w:val="none"/>
        </w:rPr>
      </w:pPr>
      <w:r>
        <w:rPr>
          <w:rFonts w:hint="eastAsia" w:ascii="仿宋" w:hAnsi="仿宋" w:eastAsia="仿宋" w:cs="宋体"/>
          <w:bCs/>
          <w:color w:val="auto"/>
          <w:szCs w:val="21"/>
          <w:highlight w:val="none"/>
        </w:rPr>
        <w:t>3、</w:t>
      </w:r>
      <w:r>
        <w:rPr>
          <w:rFonts w:hint="eastAsia" w:ascii="仿宋" w:hAnsi="仿宋" w:eastAsia="仿宋" w:cs="宋体"/>
          <w:color w:val="auto"/>
          <w:szCs w:val="21"/>
          <w:highlight w:val="none"/>
        </w:rPr>
        <w:t>限期整改：</w:t>
      </w:r>
      <w:r>
        <w:rPr>
          <w:rFonts w:hint="eastAsia" w:ascii="仿宋" w:hAnsi="仿宋" w:eastAsia="仿宋" w:cs="宋体"/>
          <w:color w:val="auto"/>
          <w:szCs w:val="21"/>
          <w:highlight w:val="none"/>
          <w:lang w:val="en-US" w:eastAsia="zh-CN"/>
        </w:rPr>
        <w:t>发包人</w:t>
      </w:r>
      <w:r>
        <w:rPr>
          <w:rFonts w:hint="eastAsia" w:ascii="仿宋" w:hAnsi="仿宋" w:eastAsia="仿宋" w:cs="宋体"/>
          <w:color w:val="auto"/>
          <w:szCs w:val="21"/>
          <w:highlight w:val="none"/>
          <w:lang w:eastAsia="zh-CN"/>
        </w:rPr>
        <w:t>、</w:t>
      </w:r>
      <w:r>
        <w:rPr>
          <w:rFonts w:hint="eastAsia" w:ascii="仿宋" w:hAnsi="仿宋" w:eastAsia="仿宋" w:cs="宋体"/>
          <w:color w:val="auto"/>
          <w:szCs w:val="21"/>
          <w:highlight w:val="none"/>
          <w:lang w:val="en-US" w:eastAsia="zh-CN"/>
        </w:rPr>
        <w:t>代建管理单位</w:t>
      </w:r>
      <w:r>
        <w:rPr>
          <w:rFonts w:hint="eastAsia" w:ascii="仿宋" w:hAnsi="仿宋" w:eastAsia="仿宋" w:cs="宋体"/>
          <w:color w:val="auto"/>
          <w:szCs w:val="21"/>
          <w:highlight w:val="none"/>
        </w:rPr>
        <w:t>、监理单位根据现场实际情况以轻重缓急等方式决定质量、安全问题的整改落实时间，在整通知单上面必须注明限期整改时间。</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应当在该整改期限内进行整改。</w:t>
      </w:r>
    </w:p>
    <w:p w14:paraId="7D64DDAB">
      <w:pPr>
        <w:spacing w:line="360" w:lineRule="auto"/>
        <w:ind w:firstLine="420" w:firstLineChars="200"/>
        <w:rPr>
          <w:rFonts w:ascii="仿宋" w:hAnsi="仿宋" w:eastAsia="仿宋" w:cs="宋体"/>
          <w:color w:val="auto"/>
          <w:szCs w:val="21"/>
          <w:highlight w:val="none"/>
        </w:rPr>
      </w:pPr>
      <w:r>
        <w:rPr>
          <w:rFonts w:hint="eastAsia" w:ascii="仿宋" w:hAnsi="仿宋" w:eastAsia="仿宋" w:cs="宋体"/>
          <w:bCs/>
          <w:color w:val="auto"/>
          <w:szCs w:val="21"/>
          <w:highlight w:val="none"/>
        </w:rPr>
        <w:t>4、</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要严格执行隐蔽工程验收制度，隐蔽工程完成后必须先进行自检，自检合格后呈送自检资料并通知</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及监理进行验收(若</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没有先进行自检，</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及监理有权拒绝验收)并经验收合格，方能进行工程的隐蔽施工。若</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未通知</w:t>
      </w:r>
      <w:r>
        <w:rPr>
          <w:rFonts w:hint="eastAsia" w:ascii="仿宋" w:hAnsi="仿宋" w:eastAsia="仿宋" w:cs="宋体"/>
          <w:color w:val="auto"/>
          <w:szCs w:val="21"/>
          <w:highlight w:val="none"/>
          <w:lang w:val="en-US" w:eastAsia="zh-CN"/>
        </w:rPr>
        <w:t>发包人</w:t>
      </w:r>
      <w:r>
        <w:rPr>
          <w:rFonts w:hint="eastAsia" w:ascii="仿宋" w:hAnsi="仿宋" w:eastAsia="仿宋" w:cs="宋体"/>
          <w:color w:val="auto"/>
          <w:szCs w:val="21"/>
          <w:highlight w:val="none"/>
          <w:lang w:eastAsia="zh-CN"/>
        </w:rPr>
        <w:t>、</w:t>
      </w:r>
      <w:r>
        <w:rPr>
          <w:rFonts w:hint="eastAsia" w:ascii="仿宋" w:hAnsi="仿宋" w:eastAsia="仿宋" w:cs="宋体"/>
          <w:color w:val="auto"/>
          <w:szCs w:val="21"/>
          <w:highlight w:val="none"/>
          <w:lang w:val="en-US" w:eastAsia="zh-CN"/>
        </w:rPr>
        <w:t>代建管理单位</w:t>
      </w:r>
      <w:r>
        <w:rPr>
          <w:rFonts w:hint="eastAsia" w:ascii="仿宋" w:hAnsi="仿宋" w:eastAsia="仿宋" w:cs="宋体"/>
          <w:color w:val="auto"/>
          <w:szCs w:val="21"/>
          <w:highlight w:val="none"/>
        </w:rPr>
        <w:t>及监理验收，经阻止无效，而擅自隐蔽工程的</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视为</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违约，相关部位的质量将不予承认及验收，</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有权扣除工程款的10%-30%(数额视违约的严重程度而定作为违约金，并在工程结算中予以扣减，并有权聘请有检测资质的检测单位进行实体检测，一切责任由</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承担(包括法律及经济责任)。若检测不合格，</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应立即无条件进行整改，费用由</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承担，工期不予顺延。若</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拒不整改或逾期整改或两次整改仍不合格的，</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有权自行聘请第三方进行整改，由此产生的整改费用由</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承担，</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有权直接从应付工程款中除，不足抵扣部分</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有权向</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追偿。如本条规定和</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与</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之间签订的有关合同或协议不一致的，以本条规定的为准。</w:t>
      </w:r>
    </w:p>
    <w:p w14:paraId="1CF9751E">
      <w:pPr>
        <w:spacing w:line="360" w:lineRule="auto"/>
        <w:ind w:firstLine="420" w:firstLineChars="200"/>
        <w:rPr>
          <w:rFonts w:ascii="仿宋" w:hAnsi="仿宋" w:eastAsia="仿宋" w:cs="宋体"/>
          <w:color w:val="auto"/>
          <w:szCs w:val="21"/>
          <w:highlight w:val="none"/>
        </w:rPr>
      </w:pPr>
      <w:r>
        <w:rPr>
          <w:rFonts w:hint="eastAsia" w:ascii="仿宋" w:hAnsi="仿宋" w:eastAsia="仿宋" w:cs="宋体"/>
          <w:bCs/>
          <w:color w:val="auto"/>
          <w:szCs w:val="21"/>
          <w:highlight w:val="none"/>
        </w:rPr>
        <w:t>5、</w:t>
      </w:r>
      <w:r>
        <w:rPr>
          <w:rFonts w:hint="eastAsia" w:ascii="仿宋" w:hAnsi="仿宋" w:eastAsia="仿宋" w:cs="宋体"/>
          <w:color w:val="auto"/>
          <w:szCs w:val="21"/>
          <w:highlight w:val="none"/>
        </w:rPr>
        <w:t>如</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的违规行为造成</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损失的，</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除按本细则规定支付罚款外还应承担赔偿损失及全部责任。</w:t>
      </w:r>
    </w:p>
    <w:p w14:paraId="7FEFE404">
      <w:pPr>
        <w:spacing w:line="360" w:lineRule="auto"/>
        <w:jc w:val="left"/>
        <w:outlineLvl w:val="1"/>
        <w:rPr>
          <w:rFonts w:ascii="仿宋" w:hAnsi="仿宋" w:eastAsia="仿宋"/>
          <w:b/>
          <w:bCs/>
          <w:color w:val="auto"/>
          <w:kern w:val="0"/>
          <w:sz w:val="24"/>
          <w:szCs w:val="24"/>
          <w:highlight w:val="none"/>
        </w:rPr>
      </w:pPr>
      <w:bookmarkStart w:id="39" w:name="_Toc26304"/>
      <w:r>
        <w:rPr>
          <w:rFonts w:hint="eastAsia" w:ascii="仿宋" w:hAnsi="仿宋" w:eastAsia="仿宋"/>
          <w:b/>
          <w:bCs/>
          <w:color w:val="auto"/>
          <w:kern w:val="0"/>
          <w:sz w:val="24"/>
          <w:szCs w:val="24"/>
          <w:highlight w:val="none"/>
        </w:rPr>
        <w:t xml:space="preserve">第五条 </w:t>
      </w:r>
      <w:r>
        <w:rPr>
          <w:rFonts w:ascii="仿宋" w:hAnsi="仿宋" w:eastAsia="仿宋"/>
          <w:b/>
          <w:bCs/>
          <w:color w:val="auto"/>
          <w:kern w:val="0"/>
          <w:sz w:val="24"/>
          <w:szCs w:val="24"/>
          <w:highlight w:val="none"/>
        </w:rPr>
        <w:t xml:space="preserve"> </w:t>
      </w:r>
      <w:r>
        <w:rPr>
          <w:rFonts w:hint="eastAsia" w:ascii="仿宋" w:hAnsi="仿宋" w:eastAsia="仿宋"/>
          <w:b/>
          <w:bCs/>
          <w:color w:val="auto"/>
          <w:kern w:val="0"/>
          <w:sz w:val="24"/>
          <w:szCs w:val="24"/>
          <w:highlight w:val="none"/>
          <w:lang w:val="en-US" w:eastAsia="zh-CN"/>
        </w:rPr>
        <w:t>违约处罚</w:t>
      </w:r>
      <w:r>
        <w:rPr>
          <w:rFonts w:hint="eastAsia" w:ascii="仿宋" w:hAnsi="仿宋" w:eastAsia="仿宋"/>
          <w:b/>
          <w:bCs/>
          <w:color w:val="auto"/>
          <w:kern w:val="0"/>
          <w:sz w:val="24"/>
          <w:szCs w:val="24"/>
          <w:highlight w:val="none"/>
        </w:rPr>
        <w:t>扣减办法</w:t>
      </w:r>
      <w:bookmarkEnd w:id="39"/>
    </w:p>
    <w:p w14:paraId="25761681">
      <w:pPr>
        <w:spacing w:line="360" w:lineRule="auto"/>
        <w:ind w:firstLine="525" w:firstLineChars="250"/>
        <w:rPr>
          <w:rFonts w:ascii="仿宋" w:hAnsi="仿宋" w:eastAsia="仿宋" w:cs="宋体"/>
          <w:color w:val="auto"/>
          <w:szCs w:val="21"/>
          <w:highlight w:val="none"/>
        </w:rPr>
      </w:pP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因违反本细则而产生的</w:t>
      </w:r>
      <w:r>
        <w:rPr>
          <w:rFonts w:hint="eastAsia" w:ascii="仿宋" w:hAnsi="仿宋" w:eastAsia="仿宋" w:cs="宋体"/>
          <w:color w:val="auto"/>
          <w:szCs w:val="21"/>
          <w:highlight w:val="none"/>
          <w:lang w:val="en-US" w:eastAsia="zh-CN"/>
        </w:rPr>
        <w:t>违约处罚</w:t>
      </w:r>
      <w:r>
        <w:rPr>
          <w:rFonts w:hint="eastAsia" w:ascii="仿宋" w:hAnsi="仿宋" w:eastAsia="仿宋" w:cs="宋体"/>
          <w:color w:val="auto"/>
          <w:szCs w:val="21"/>
          <w:highlight w:val="none"/>
        </w:rPr>
        <w:t>从工程款中直接扣减，工程款不足抵扣的，</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仍有权向</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追偿。</w:t>
      </w:r>
    </w:p>
    <w:p w14:paraId="192E1DEA">
      <w:pPr>
        <w:spacing w:line="360" w:lineRule="auto"/>
        <w:jc w:val="left"/>
        <w:outlineLvl w:val="1"/>
        <w:rPr>
          <w:rFonts w:ascii="仿宋" w:hAnsi="仿宋" w:eastAsia="仿宋"/>
          <w:b/>
          <w:bCs/>
          <w:color w:val="auto"/>
          <w:kern w:val="0"/>
          <w:sz w:val="24"/>
          <w:szCs w:val="24"/>
          <w:highlight w:val="none"/>
        </w:rPr>
      </w:pPr>
      <w:bookmarkStart w:id="40" w:name="_Toc25200"/>
      <w:r>
        <w:rPr>
          <w:rFonts w:hint="eastAsia" w:ascii="仿宋" w:hAnsi="仿宋" w:eastAsia="仿宋"/>
          <w:b/>
          <w:bCs/>
          <w:color w:val="auto"/>
          <w:kern w:val="0"/>
          <w:sz w:val="24"/>
          <w:szCs w:val="24"/>
          <w:highlight w:val="none"/>
        </w:rPr>
        <w:t xml:space="preserve">第六条 </w:t>
      </w:r>
      <w:r>
        <w:rPr>
          <w:rFonts w:ascii="仿宋" w:hAnsi="仿宋" w:eastAsia="仿宋"/>
          <w:b/>
          <w:bCs/>
          <w:color w:val="auto"/>
          <w:kern w:val="0"/>
          <w:sz w:val="24"/>
          <w:szCs w:val="24"/>
          <w:highlight w:val="none"/>
        </w:rPr>
        <w:t xml:space="preserve"> </w:t>
      </w:r>
      <w:r>
        <w:rPr>
          <w:rFonts w:hint="eastAsia" w:ascii="仿宋" w:hAnsi="仿宋" w:eastAsia="仿宋"/>
          <w:b/>
          <w:bCs/>
          <w:color w:val="auto"/>
          <w:kern w:val="0"/>
          <w:sz w:val="24"/>
          <w:szCs w:val="24"/>
          <w:highlight w:val="none"/>
        </w:rPr>
        <w:t>效力</w:t>
      </w:r>
      <w:bookmarkEnd w:id="40"/>
    </w:p>
    <w:p w14:paraId="661F153C">
      <w:pPr>
        <w:spacing w:line="360" w:lineRule="auto"/>
        <w:ind w:firstLine="525" w:firstLineChars="250"/>
        <w:rPr>
          <w:rFonts w:ascii="仿宋" w:hAnsi="仿宋" w:eastAsia="仿宋" w:cs="宋体"/>
          <w:color w:val="auto"/>
          <w:szCs w:val="21"/>
          <w:highlight w:val="none"/>
        </w:rPr>
      </w:pPr>
      <w:r>
        <w:rPr>
          <w:rFonts w:ascii="仿宋" w:hAnsi="仿宋" w:eastAsia="仿宋" w:cs="宋体"/>
          <w:color w:val="auto"/>
          <w:szCs w:val="21"/>
          <w:highlight w:val="none"/>
        </w:rPr>
        <w:t>1</w:t>
      </w:r>
      <w:r>
        <w:rPr>
          <w:rFonts w:hint="eastAsia" w:ascii="仿宋" w:hAnsi="仿宋" w:eastAsia="仿宋" w:cs="宋体"/>
          <w:color w:val="auto"/>
          <w:szCs w:val="21"/>
          <w:highlight w:val="none"/>
        </w:rPr>
        <w:t>、本细则有关处罚的约定，若与合同、安全文明施工协议、工程质量保修书或其他合同附件约定存在冲突的，以处罚较高者为准；除本细则特别约定外，其他处罚标准或工程要求以合同或其他附件约定的为准。</w:t>
      </w:r>
    </w:p>
    <w:p w14:paraId="1BD246C4">
      <w:pPr>
        <w:spacing w:line="360" w:lineRule="auto"/>
        <w:ind w:firstLine="420" w:firstLineChars="200"/>
        <w:rPr>
          <w:rFonts w:ascii="仿宋" w:hAnsi="仿宋" w:eastAsia="仿宋" w:cs="宋体"/>
          <w:color w:val="auto"/>
          <w:szCs w:val="21"/>
          <w:highlight w:val="none"/>
        </w:rPr>
      </w:pPr>
      <w:r>
        <w:rPr>
          <w:rFonts w:hint="eastAsia" w:ascii="仿宋" w:hAnsi="仿宋" w:eastAsia="仿宋" w:cs="宋体"/>
          <w:color w:val="auto"/>
          <w:szCs w:val="21"/>
          <w:highlight w:val="none"/>
        </w:rPr>
        <w:t>2、本细则自</w:t>
      </w:r>
      <w:r>
        <w:rPr>
          <w:rFonts w:hint="eastAsia" w:ascii="仿宋" w:hAnsi="仿宋" w:eastAsia="仿宋" w:cs="宋体"/>
          <w:color w:val="auto"/>
          <w:szCs w:val="21"/>
          <w:highlight w:val="none"/>
          <w:lang w:eastAsia="zh-CN"/>
        </w:rPr>
        <w:t>发包人</w:t>
      </w:r>
      <w:r>
        <w:rPr>
          <w:rFonts w:hint="eastAsia" w:ascii="仿宋" w:hAnsi="仿宋" w:eastAsia="仿宋" w:cs="宋体"/>
          <w:color w:val="auto"/>
          <w:szCs w:val="21"/>
          <w:highlight w:val="none"/>
        </w:rPr>
        <w:t>与</w:t>
      </w:r>
      <w:r>
        <w:rPr>
          <w:rFonts w:hint="eastAsia" w:ascii="仿宋" w:hAnsi="仿宋" w:eastAsia="仿宋" w:cs="宋体"/>
          <w:color w:val="auto"/>
          <w:szCs w:val="21"/>
          <w:highlight w:val="none"/>
          <w:lang w:eastAsia="zh-CN"/>
        </w:rPr>
        <w:t>总承包人</w:t>
      </w:r>
      <w:r>
        <w:rPr>
          <w:rFonts w:hint="eastAsia" w:ascii="仿宋" w:hAnsi="仿宋" w:eastAsia="仿宋" w:cs="宋体"/>
          <w:color w:val="auto"/>
          <w:szCs w:val="21"/>
          <w:highlight w:val="none"/>
        </w:rPr>
        <w:t>签订</w:t>
      </w:r>
      <w:r>
        <w:rPr>
          <w:rFonts w:hint="eastAsia" w:ascii="仿宋" w:hAnsi="仿宋" w:eastAsia="仿宋" w:cs="宋体"/>
          <w:color w:val="auto"/>
          <w:szCs w:val="21"/>
          <w:highlight w:val="none"/>
          <w:lang w:val="en-US" w:eastAsia="zh-CN"/>
        </w:rPr>
        <w:t>本工程施工合同</w:t>
      </w:r>
      <w:r>
        <w:rPr>
          <w:rFonts w:hint="eastAsia" w:ascii="仿宋" w:hAnsi="仿宋" w:eastAsia="仿宋" w:cs="宋体"/>
          <w:color w:val="auto"/>
          <w:szCs w:val="21"/>
          <w:highlight w:val="none"/>
        </w:rPr>
        <w:t>之</w:t>
      </w:r>
      <w:r>
        <w:rPr>
          <w:rFonts w:hint="eastAsia" w:ascii="仿宋" w:hAnsi="仿宋" w:eastAsia="仿宋" w:cs="宋体"/>
          <w:color w:val="auto"/>
          <w:szCs w:val="21"/>
          <w:highlight w:val="none"/>
          <w:lang w:val="en-US" w:eastAsia="zh-CN"/>
        </w:rPr>
        <w:t>日</w:t>
      </w:r>
      <w:r>
        <w:rPr>
          <w:rFonts w:hint="eastAsia" w:ascii="仿宋" w:hAnsi="仿宋" w:eastAsia="仿宋" w:cs="宋体"/>
          <w:color w:val="auto"/>
          <w:szCs w:val="21"/>
          <w:highlight w:val="none"/>
        </w:rPr>
        <w:t>起执行。</w:t>
      </w:r>
    </w:p>
    <w:p w14:paraId="0E681C5C">
      <w:pPr>
        <w:spacing w:line="360" w:lineRule="auto"/>
        <w:rPr>
          <w:rFonts w:ascii="仿宋" w:hAnsi="仿宋" w:eastAsia="仿宋"/>
          <w:color w:val="auto"/>
          <w:highlight w:val="none"/>
        </w:rPr>
      </w:pPr>
    </w:p>
    <w:sectPr>
      <w:footerReference r:id="rId5"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等线">
    <w:panose1 w:val="02010600030101010101"/>
    <w:charset w:val="86"/>
    <w:family w:val="auto"/>
    <w:pitch w:val="default"/>
    <w:sig w:usb0="A00002BF" w:usb1="38CF7CFA" w:usb2="00000016" w:usb3="00000000" w:csb0="0004000F" w:csb1="00000000"/>
  </w:font>
  <w:font w:name="Tahoma">
    <w:panose1 w:val="020B0604030504040204"/>
    <w:charset w:val="00"/>
    <w:family w:val="swiss"/>
    <w:pitch w:val="default"/>
    <w:sig w:usb0="E1002EFF" w:usb1="C000605B" w:usb2="00000029" w:usb3="00000000" w:csb0="200101FF" w:csb1="20280000"/>
  </w:font>
  <w:font w:name="@smartSimSun">
    <w:altName w:val="@微软雅黑"/>
    <w:panose1 w:val="00000000000000000000"/>
    <w:charset w:val="00"/>
    <w:family w:val="auto"/>
    <w:pitch w:val="default"/>
    <w:sig w:usb0="00000000" w:usb1="00000000" w:usb2="00000010" w:usb3="00000000" w:csb0="00040001" w:csb1="00000000"/>
  </w:font>
  <w:font w:name="@微软雅黑">
    <w:panose1 w:val="020B0503020204020204"/>
    <w:charset w:val="86"/>
    <w:family w:val="auto"/>
    <w:pitch w:val="default"/>
    <w:sig w:usb0="80000287" w:usb1="2ACF3C50" w:usb2="00000016" w:usb3="00000000" w:csb0="0004001F" w:csb1="00000000"/>
  </w:font>
  <w:font w:name="楷体_GB2312">
    <w:altName w:val="楷体"/>
    <w:panose1 w:val="00000000000000000000"/>
    <w:charset w:val="86"/>
    <w:family w:val="decorative"/>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imesNewRomanPSMT">
    <w:altName w:val="Times New Roman"/>
    <w:panose1 w:val="00000000000000000000"/>
    <w:charset w:val="00"/>
    <w:family w:val="roman"/>
    <w:pitch w:val="default"/>
    <w:sig w:usb0="00000000" w:usb1="00000000" w:usb2="00000000" w:usb3="00000000" w:csb0="00000001" w:csb1="00000000"/>
  </w:font>
  <w:font w:name="等线 Light">
    <w:panose1 w:val="02010600030101010101"/>
    <w:charset w:val="86"/>
    <w:family w:val="auto"/>
    <w:pitch w:val="default"/>
    <w:sig w:usb0="A00002BF" w:usb1="38CF7CFA" w:usb2="00000016" w:usb3="00000000" w:csb0="0004000F" w:csb1="00000000"/>
  </w:font>
  <w:font w:name="Microsoft YaHei UI">
    <w:panose1 w:val="020B0503020204020204"/>
    <w:charset w:val="86"/>
    <w:family w:val="swiss"/>
    <w:pitch w:val="default"/>
    <w:sig w:usb0="80000287" w:usb1="2ACF3C50" w:usb2="00000016" w:usb3="00000000" w:csb0="0004001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D3172D">
    <w:pPr>
      <w:pStyle w:val="2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295337428"/>
    </w:sdtPr>
    <w:sdtContent>
      <w:sdt>
        <w:sdtPr>
          <w:id w:val="1728636285"/>
        </w:sdtPr>
        <w:sdtContent>
          <w:p w14:paraId="5806FFE4">
            <w:pPr>
              <w:pStyle w:val="25"/>
              <w:jc w:val="center"/>
            </w:pPr>
            <w:r>
              <w:rPr>
                <w:lang w:val="zh-CN"/>
              </w:rPr>
              <w:t xml:space="preserve"> </w:t>
            </w:r>
            <w:r>
              <w:rPr>
                <w:bCs/>
              </w:rPr>
              <w:fldChar w:fldCharType="begin"/>
            </w:r>
            <w:r>
              <w:rPr>
                <w:bCs/>
              </w:rPr>
              <w:instrText xml:space="preserve">PAGE</w:instrText>
            </w:r>
            <w:r>
              <w:rPr>
                <w:bCs/>
              </w:rPr>
              <w:fldChar w:fldCharType="separate"/>
            </w:r>
            <w:r>
              <w:rPr>
                <w:bCs/>
              </w:rPr>
              <w:t>2</w:t>
            </w:r>
            <w:r>
              <w:rPr>
                <w:bCs/>
              </w:rPr>
              <w:fldChar w:fldCharType="end"/>
            </w:r>
            <w:r>
              <w:rPr>
                <w:lang w:val="zh-CN"/>
              </w:rPr>
              <w:t xml:space="preserve"> /</w:t>
            </w:r>
            <w:r>
              <w:rPr>
                <w:rFonts w:hint="eastAsia"/>
              </w:rPr>
              <w:t>39</w:t>
            </w:r>
          </w:p>
        </w:sdtContent>
      </w:sdt>
    </w:sdtContent>
  </w:sdt>
  <w:p w14:paraId="1B6B47E0">
    <w:pPr>
      <w:pStyle w:val="2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32D9CC">
    <w:pPr>
      <w:pStyle w:val="26"/>
      <w:jc w:val="left"/>
      <w:rPr>
        <w:rFonts w:hint="eastAsia"/>
        <w:sz w:val="21"/>
        <w:szCs w:val="21"/>
      </w:rPr>
    </w:pPr>
    <w:r>
      <w:rPr>
        <w:rFonts w:hint="eastAsia"/>
        <w:sz w:val="21"/>
        <w:szCs w:val="21"/>
        <w:lang w:val="en-US" w:eastAsia="zh-CN"/>
      </w:rPr>
      <w:t xml:space="preserve">广州市金融城东区车陂村集体物业复建项目施工总承包工程   </w:t>
    </w:r>
    <w:r>
      <w:rPr>
        <w:rFonts w:hint="eastAsia"/>
        <w:sz w:val="21"/>
        <w:szCs w:val="21"/>
      </w:rPr>
      <w:t xml:space="preserve"> </w:t>
    </w:r>
    <w:r>
      <w:rPr>
        <w:sz w:val="21"/>
        <w:szCs w:val="21"/>
      </w:rPr>
      <w:t xml:space="preserve">  </w:t>
    </w:r>
    <w:r>
      <w:rPr>
        <w:rFonts w:hint="eastAsia"/>
        <w:sz w:val="21"/>
        <w:szCs w:val="21"/>
      </w:rPr>
      <w:t xml:space="preserve">       </w:t>
    </w:r>
    <w:r>
      <w:rPr>
        <w:sz w:val="21"/>
        <w:szCs w:val="21"/>
      </w:rPr>
      <w:t xml:space="preserve"> </w:t>
    </w:r>
    <w:r>
      <w:rPr>
        <w:rFonts w:hint="eastAsia"/>
        <w:sz w:val="21"/>
        <w:szCs w:val="21"/>
      </w:rPr>
      <w:t xml:space="preserve"> </w:t>
    </w:r>
  </w:p>
  <w:p w14:paraId="6E76EB38">
    <w:pPr>
      <w:pStyle w:val="26"/>
      <w:rPr>
        <w:sz w:val="20"/>
        <w:szCs w:val="20"/>
      </w:rPr>
    </w:pPr>
    <w:r>
      <w:rPr>
        <w:rFonts w:hint="eastAsia"/>
        <w:sz w:val="21"/>
        <w:szCs w:val="21"/>
        <w:lang w:val="en-US" w:eastAsia="zh-CN"/>
      </w:rPr>
      <w:t xml:space="preserve">                                               </w:t>
    </w:r>
    <w:r>
      <w:rPr>
        <w:rFonts w:hint="eastAsia"/>
        <w:sz w:val="21"/>
        <w:szCs w:val="21"/>
      </w:rPr>
      <w:t>第七册 现场管理规定及奖罚细则</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D7B70A3"/>
    <w:multiLevelType w:val="singleLevel"/>
    <w:tmpl w:val="BD7B70A3"/>
    <w:lvl w:ilvl="0" w:tentative="0">
      <w:start w:val="3"/>
      <w:numFmt w:val="decimal"/>
      <w:suff w:val="nothing"/>
      <w:lvlText w:val="%1、"/>
      <w:lvlJc w:val="left"/>
    </w:lvl>
  </w:abstractNum>
  <w:abstractNum w:abstractNumId="1">
    <w:nsid w:val="07F43899"/>
    <w:multiLevelType w:val="singleLevel"/>
    <w:tmpl w:val="07F43899"/>
    <w:lvl w:ilvl="0" w:tentative="0">
      <w:start w:val="2"/>
      <w:numFmt w:val="decimal"/>
      <w:suff w:val="nothing"/>
      <w:lvlText w:val="%1、"/>
      <w:lvlJc w:val="left"/>
    </w:lvl>
  </w:abstractNum>
  <w:abstractNum w:abstractNumId="2">
    <w:nsid w:val="0806765B"/>
    <w:multiLevelType w:val="multilevel"/>
    <w:tmpl w:val="0806765B"/>
    <w:lvl w:ilvl="0" w:tentative="0">
      <w:start w:val="1"/>
      <w:numFmt w:val="japaneseCounting"/>
      <w:lvlText w:val="（%1）"/>
      <w:lvlJc w:val="left"/>
      <w:pPr>
        <w:ind w:left="1200" w:hanging="7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5471B95B"/>
    <w:multiLevelType w:val="singleLevel"/>
    <w:tmpl w:val="5471B95B"/>
    <w:lvl w:ilvl="0" w:tentative="0">
      <w:start w:val="8"/>
      <w:numFmt w:val="decimal"/>
      <w:suff w:val="nothing"/>
      <w:lvlText w:val="%1、"/>
      <w:lvlJc w:val="left"/>
    </w:lvl>
  </w:abstractNum>
  <w:abstractNum w:abstractNumId="4">
    <w:nsid w:val="594B678B"/>
    <w:multiLevelType w:val="multilevel"/>
    <w:tmpl w:val="594B678B"/>
    <w:lvl w:ilvl="0" w:tentative="0">
      <w:start w:val="1"/>
      <w:numFmt w:val="decimalEnclosedCircle"/>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2"/>
  </w:num>
  <w:num w:numId="2">
    <w:abstractNumId w:val="3"/>
  </w:num>
  <w:num w:numId="3">
    <w:abstractNumId w:val="0"/>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556B"/>
    <w:rsid w:val="0003497D"/>
    <w:rsid w:val="00036F87"/>
    <w:rsid w:val="00047707"/>
    <w:rsid w:val="00072706"/>
    <w:rsid w:val="00077D05"/>
    <w:rsid w:val="0009421E"/>
    <w:rsid w:val="000C4694"/>
    <w:rsid w:val="000D73DC"/>
    <w:rsid w:val="00121E37"/>
    <w:rsid w:val="001722FF"/>
    <w:rsid w:val="001D136F"/>
    <w:rsid w:val="002676C1"/>
    <w:rsid w:val="002820BD"/>
    <w:rsid w:val="002925D1"/>
    <w:rsid w:val="00296404"/>
    <w:rsid w:val="002A51DE"/>
    <w:rsid w:val="002C4566"/>
    <w:rsid w:val="002D0EFD"/>
    <w:rsid w:val="002E4910"/>
    <w:rsid w:val="00301ACF"/>
    <w:rsid w:val="00371322"/>
    <w:rsid w:val="00392B01"/>
    <w:rsid w:val="003A5446"/>
    <w:rsid w:val="00407001"/>
    <w:rsid w:val="004A48FF"/>
    <w:rsid w:val="004F59CE"/>
    <w:rsid w:val="0057661A"/>
    <w:rsid w:val="00681A65"/>
    <w:rsid w:val="006C2E4C"/>
    <w:rsid w:val="00747343"/>
    <w:rsid w:val="008516B4"/>
    <w:rsid w:val="00851CE3"/>
    <w:rsid w:val="008A7F1E"/>
    <w:rsid w:val="008D68D5"/>
    <w:rsid w:val="009D556B"/>
    <w:rsid w:val="009E457E"/>
    <w:rsid w:val="00A41178"/>
    <w:rsid w:val="00A608DC"/>
    <w:rsid w:val="00AC6A56"/>
    <w:rsid w:val="00AD11B1"/>
    <w:rsid w:val="00BA565F"/>
    <w:rsid w:val="00BC687F"/>
    <w:rsid w:val="00C611EE"/>
    <w:rsid w:val="00CD021C"/>
    <w:rsid w:val="00DC3099"/>
    <w:rsid w:val="00E3556C"/>
    <w:rsid w:val="00E447B3"/>
    <w:rsid w:val="00EA1378"/>
    <w:rsid w:val="00F7070F"/>
    <w:rsid w:val="00F94D84"/>
    <w:rsid w:val="00FF6B86"/>
    <w:rsid w:val="03A95034"/>
    <w:rsid w:val="087420AC"/>
    <w:rsid w:val="0A925190"/>
    <w:rsid w:val="0CD47E1B"/>
    <w:rsid w:val="16060689"/>
    <w:rsid w:val="16182AC8"/>
    <w:rsid w:val="170D60B9"/>
    <w:rsid w:val="21127D16"/>
    <w:rsid w:val="21530286"/>
    <w:rsid w:val="231F5A1C"/>
    <w:rsid w:val="23884137"/>
    <w:rsid w:val="2816035B"/>
    <w:rsid w:val="2A72248E"/>
    <w:rsid w:val="349D7B76"/>
    <w:rsid w:val="3EC5353D"/>
    <w:rsid w:val="3F7F4C98"/>
    <w:rsid w:val="402C0AFD"/>
    <w:rsid w:val="434F6B7E"/>
    <w:rsid w:val="447226AF"/>
    <w:rsid w:val="466D7CAD"/>
    <w:rsid w:val="4D06769E"/>
    <w:rsid w:val="4EF569E0"/>
    <w:rsid w:val="501E4C31"/>
    <w:rsid w:val="521E795D"/>
    <w:rsid w:val="54B53F06"/>
    <w:rsid w:val="5DA611DB"/>
    <w:rsid w:val="651A2216"/>
    <w:rsid w:val="6DA265FA"/>
    <w:rsid w:val="6E8672DE"/>
    <w:rsid w:val="6F392428"/>
    <w:rsid w:val="7019691C"/>
    <w:rsid w:val="74782FDB"/>
    <w:rsid w:val="7497557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qFormat="1" w:unhideWhenUsed="0"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qFormat="1" w:unhideWhenUsed="0" w:uiPriority="0" w:semiHidden="0" w:name="Normal Indent"/>
    <w:lsdException w:uiPriority="99" w:name="footnote text"/>
    <w:lsdException w:qFormat="1" w:unhideWhenUsed="0" w:uiPriority="0" w:semiHidden="0" w:name="annotation text"/>
    <w:lsdException w:qFormat="1" w:uiPriority="0"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paragraph" w:styleId="3">
    <w:name w:val="heading 1"/>
    <w:basedOn w:val="1"/>
    <w:next w:val="1"/>
    <w:link w:val="47"/>
    <w:qFormat/>
    <w:uiPriority w:val="0"/>
    <w:pPr>
      <w:keepNext/>
      <w:keepLines/>
      <w:spacing w:before="340" w:after="330" w:line="576" w:lineRule="auto"/>
      <w:outlineLvl w:val="0"/>
    </w:pPr>
    <w:rPr>
      <w:b/>
      <w:bCs/>
      <w:kern w:val="44"/>
      <w:sz w:val="44"/>
      <w:szCs w:val="44"/>
    </w:rPr>
  </w:style>
  <w:style w:type="paragraph" w:styleId="4">
    <w:name w:val="heading 2"/>
    <w:basedOn w:val="1"/>
    <w:next w:val="1"/>
    <w:link w:val="48"/>
    <w:qFormat/>
    <w:uiPriority w:val="0"/>
    <w:pPr>
      <w:keepNext/>
      <w:keepLines/>
      <w:spacing w:before="260" w:after="260" w:line="413" w:lineRule="auto"/>
      <w:outlineLvl w:val="1"/>
    </w:pPr>
    <w:rPr>
      <w:rFonts w:ascii="Cambria" w:hAnsi="Cambria"/>
      <w:b/>
      <w:bCs/>
      <w:sz w:val="32"/>
      <w:szCs w:val="32"/>
    </w:rPr>
  </w:style>
  <w:style w:type="paragraph" w:styleId="5">
    <w:name w:val="heading 3"/>
    <w:basedOn w:val="1"/>
    <w:next w:val="6"/>
    <w:link w:val="49"/>
    <w:qFormat/>
    <w:uiPriority w:val="0"/>
    <w:pPr>
      <w:keepNext/>
      <w:keepLines/>
      <w:spacing w:before="260" w:after="260" w:line="413" w:lineRule="auto"/>
      <w:outlineLvl w:val="2"/>
    </w:pPr>
    <w:rPr>
      <w:b/>
      <w:bCs/>
      <w:sz w:val="32"/>
      <w:szCs w:val="32"/>
    </w:rPr>
  </w:style>
  <w:style w:type="paragraph" w:styleId="7">
    <w:name w:val="heading 4"/>
    <w:basedOn w:val="1"/>
    <w:next w:val="1"/>
    <w:link w:val="50"/>
    <w:qFormat/>
    <w:uiPriority w:val="0"/>
    <w:pPr>
      <w:keepNext/>
      <w:keepLines/>
      <w:spacing w:before="280" w:after="290" w:line="372" w:lineRule="auto"/>
      <w:outlineLvl w:val="3"/>
    </w:pPr>
    <w:rPr>
      <w:rFonts w:ascii="Cambria" w:hAnsi="Cambria"/>
      <w:b/>
      <w:bCs/>
      <w:sz w:val="28"/>
      <w:szCs w:val="28"/>
    </w:rPr>
  </w:style>
  <w:style w:type="paragraph" w:styleId="8">
    <w:name w:val="heading 5"/>
    <w:basedOn w:val="1"/>
    <w:next w:val="1"/>
    <w:link w:val="51"/>
    <w:qFormat/>
    <w:uiPriority w:val="0"/>
    <w:pPr>
      <w:keepNext/>
      <w:keepLines/>
      <w:spacing w:before="280" w:after="290" w:line="372" w:lineRule="auto"/>
      <w:outlineLvl w:val="4"/>
    </w:pPr>
    <w:rPr>
      <w:b/>
      <w:bCs/>
      <w:sz w:val="28"/>
      <w:szCs w:val="28"/>
    </w:rPr>
  </w:style>
  <w:style w:type="paragraph" w:styleId="9">
    <w:name w:val="heading 6"/>
    <w:basedOn w:val="1"/>
    <w:next w:val="1"/>
    <w:link w:val="52"/>
    <w:qFormat/>
    <w:uiPriority w:val="0"/>
    <w:pPr>
      <w:keepNext/>
      <w:keepLines/>
      <w:spacing w:before="240" w:after="64" w:line="317" w:lineRule="auto"/>
      <w:outlineLvl w:val="5"/>
    </w:pPr>
    <w:rPr>
      <w:rFonts w:ascii="Cambria" w:hAnsi="Cambria"/>
      <w:b/>
      <w:bCs/>
      <w:sz w:val="24"/>
      <w:szCs w:val="24"/>
    </w:rPr>
  </w:style>
  <w:style w:type="paragraph" w:styleId="10">
    <w:name w:val="heading 7"/>
    <w:basedOn w:val="1"/>
    <w:next w:val="1"/>
    <w:link w:val="53"/>
    <w:qFormat/>
    <w:uiPriority w:val="0"/>
    <w:pPr>
      <w:keepNext/>
      <w:keepLines/>
      <w:spacing w:before="240" w:after="64" w:line="317" w:lineRule="auto"/>
      <w:outlineLvl w:val="6"/>
    </w:pPr>
    <w:rPr>
      <w:b/>
      <w:bCs/>
      <w:sz w:val="24"/>
      <w:szCs w:val="24"/>
    </w:rPr>
  </w:style>
  <w:style w:type="paragraph" w:styleId="11">
    <w:name w:val="heading 8"/>
    <w:basedOn w:val="1"/>
    <w:next w:val="1"/>
    <w:link w:val="54"/>
    <w:qFormat/>
    <w:uiPriority w:val="0"/>
    <w:pPr>
      <w:keepNext/>
      <w:keepLines/>
      <w:spacing w:before="240" w:after="64" w:line="317" w:lineRule="auto"/>
      <w:outlineLvl w:val="7"/>
    </w:pPr>
    <w:rPr>
      <w:rFonts w:ascii="Cambria" w:hAnsi="Cambria"/>
      <w:sz w:val="24"/>
      <w:szCs w:val="24"/>
    </w:rPr>
  </w:style>
  <w:style w:type="paragraph" w:styleId="12">
    <w:name w:val="heading 9"/>
    <w:basedOn w:val="1"/>
    <w:next w:val="1"/>
    <w:link w:val="55"/>
    <w:qFormat/>
    <w:uiPriority w:val="0"/>
    <w:pPr>
      <w:keepNext/>
      <w:keepLines/>
      <w:spacing w:before="240" w:after="64" w:line="317" w:lineRule="auto"/>
      <w:outlineLvl w:val="8"/>
    </w:pPr>
    <w:rPr>
      <w:rFonts w:ascii="Cambria" w:hAnsi="Cambria"/>
      <w:szCs w:val="21"/>
    </w:rPr>
  </w:style>
  <w:style w:type="character" w:default="1" w:styleId="39">
    <w:name w:val="Default Paragraph Font"/>
    <w:semiHidden/>
    <w:unhideWhenUsed/>
    <w:qFormat/>
    <w:uiPriority w:val="1"/>
  </w:style>
  <w:style w:type="table" w:default="1" w:styleId="37">
    <w:name w:val="Normal Table"/>
    <w:semiHidden/>
    <w:unhideWhenUsed/>
    <w:qFormat/>
    <w:uiPriority w:val="99"/>
    <w:tblPr>
      <w:tblCellMar>
        <w:top w:w="0" w:type="dxa"/>
        <w:left w:w="108" w:type="dxa"/>
        <w:bottom w:w="0" w:type="dxa"/>
        <w:right w:w="108" w:type="dxa"/>
      </w:tblCellMar>
    </w:tblPr>
  </w:style>
  <w:style w:type="paragraph" w:customStyle="1" w:styleId="2">
    <w:name w:val="标3"/>
    <w:basedOn w:val="1"/>
    <w:next w:val="1"/>
    <w:qFormat/>
    <w:uiPriority w:val="0"/>
    <w:pPr>
      <w:adjustRightInd w:val="0"/>
      <w:spacing w:line="312" w:lineRule="auto"/>
      <w:outlineLvl w:val="2"/>
    </w:pPr>
    <w:rPr>
      <w:rFonts w:cs="Arial"/>
      <w:b/>
      <w:bCs/>
      <w:kern w:val="24"/>
      <w:sz w:val="28"/>
    </w:rPr>
  </w:style>
  <w:style w:type="paragraph" w:styleId="6">
    <w:name w:val="Normal Indent"/>
    <w:basedOn w:val="1"/>
    <w:qFormat/>
    <w:uiPriority w:val="0"/>
    <w:pPr>
      <w:adjustRightInd w:val="0"/>
      <w:spacing w:line="360" w:lineRule="atLeast"/>
      <w:ind w:firstLine="482"/>
      <w:textAlignment w:val="baseline"/>
    </w:pPr>
    <w:rPr>
      <w:rFonts w:ascii="Times New Roman" w:hAnsi="Times New Roman"/>
      <w:kern w:val="0"/>
      <w:sz w:val="24"/>
      <w:szCs w:val="20"/>
    </w:rPr>
  </w:style>
  <w:style w:type="paragraph" w:styleId="13">
    <w:name w:val="toc 7"/>
    <w:basedOn w:val="1"/>
    <w:next w:val="1"/>
    <w:qFormat/>
    <w:uiPriority w:val="0"/>
    <w:pPr>
      <w:ind w:left="2520" w:leftChars="1200"/>
    </w:pPr>
  </w:style>
  <w:style w:type="paragraph" w:styleId="14">
    <w:name w:val="caption"/>
    <w:basedOn w:val="1"/>
    <w:next w:val="1"/>
    <w:qFormat/>
    <w:uiPriority w:val="0"/>
    <w:rPr>
      <w:rFonts w:ascii="Cambria" w:hAnsi="Cambria" w:eastAsia="黑体"/>
      <w:sz w:val="20"/>
      <w:szCs w:val="20"/>
    </w:rPr>
  </w:style>
  <w:style w:type="paragraph" w:styleId="15">
    <w:name w:val="Document Map"/>
    <w:basedOn w:val="1"/>
    <w:link w:val="71"/>
    <w:qFormat/>
    <w:uiPriority w:val="0"/>
    <w:pPr>
      <w:shd w:val="clear" w:color="auto" w:fill="000080"/>
    </w:pPr>
    <w:rPr>
      <w:rFonts w:asciiTheme="minorHAnsi" w:hAnsiTheme="minorHAnsi" w:eastAsiaTheme="minorEastAsia" w:cstheme="minorBidi"/>
      <w:szCs w:val="24"/>
      <w:shd w:val="clear" w:color="auto" w:fill="000080"/>
    </w:rPr>
  </w:style>
  <w:style w:type="paragraph" w:styleId="16">
    <w:name w:val="annotation text"/>
    <w:basedOn w:val="1"/>
    <w:link w:val="81"/>
    <w:qFormat/>
    <w:uiPriority w:val="0"/>
    <w:pPr>
      <w:jc w:val="left"/>
    </w:pPr>
    <w:rPr>
      <w:rFonts w:asciiTheme="minorHAnsi" w:hAnsiTheme="minorHAnsi" w:eastAsiaTheme="minorEastAsia" w:cstheme="minorBidi"/>
    </w:rPr>
  </w:style>
  <w:style w:type="paragraph" w:styleId="17">
    <w:name w:val="Body Text"/>
    <w:basedOn w:val="1"/>
    <w:link w:val="75"/>
    <w:qFormat/>
    <w:uiPriority w:val="0"/>
    <w:pPr>
      <w:adjustRightInd w:val="0"/>
      <w:spacing w:after="60" w:line="360" w:lineRule="atLeast"/>
      <w:ind w:left="72" w:leftChars="30" w:right="30" w:rightChars="30"/>
      <w:jc w:val="center"/>
      <w:textAlignment w:val="baseline"/>
    </w:pPr>
    <w:rPr>
      <w:rFonts w:asciiTheme="minorHAnsi" w:hAnsiTheme="minorHAnsi" w:eastAsiaTheme="minorEastAsia" w:cstheme="minorBidi"/>
    </w:rPr>
  </w:style>
  <w:style w:type="paragraph" w:styleId="18">
    <w:name w:val="Body Text Indent"/>
    <w:basedOn w:val="1"/>
    <w:link w:val="86"/>
    <w:qFormat/>
    <w:uiPriority w:val="0"/>
    <w:pPr>
      <w:widowControl/>
      <w:overflowPunct w:val="0"/>
      <w:autoSpaceDE w:val="0"/>
      <w:autoSpaceDN w:val="0"/>
      <w:adjustRightInd w:val="0"/>
      <w:spacing w:line="360" w:lineRule="auto"/>
      <w:ind w:firstLine="540"/>
      <w:textAlignment w:val="baseline"/>
    </w:pPr>
    <w:rPr>
      <w:rFonts w:ascii="Tahoma" w:hAnsi="宋体" w:eastAsia="@smartSimSun"/>
      <w:spacing w:val="12"/>
      <w:kern w:val="0"/>
      <w:sz w:val="24"/>
      <w:szCs w:val="20"/>
    </w:rPr>
  </w:style>
  <w:style w:type="paragraph" w:styleId="19">
    <w:name w:val="index 4"/>
    <w:basedOn w:val="1"/>
    <w:next w:val="1"/>
    <w:qFormat/>
    <w:uiPriority w:val="0"/>
    <w:pPr>
      <w:ind w:left="600" w:leftChars="600"/>
    </w:pPr>
    <w:rPr>
      <w:rFonts w:ascii="Times New Roman" w:hAnsi="Times New Roman"/>
      <w:szCs w:val="24"/>
    </w:rPr>
  </w:style>
  <w:style w:type="paragraph" w:styleId="20">
    <w:name w:val="toc 5"/>
    <w:basedOn w:val="1"/>
    <w:next w:val="1"/>
    <w:qFormat/>
    <w:uiPriority w:val="0"/>
    <w:pPr>
      <w:tabs>
        <w:tab w:val="right" w:leader="dot" w:pos="8296"/>
      </w:tabs>
      <w:ind w:left="1050" w:leftChars="500"/>
    </w:pPr>
  </w:style>
  <w:style w:type="paragraph" w:styleId="21">
    <w:name w:val="toc 3"/>
    <w:basedOn w:val="1"/>
    <w:next w:val="1"/>
    <w:qFormat/>
    <w:uiPriority w:val="0"/>
    <w:pPr>
      <w:ind w:left="840" w:leftChars="400"/>
    </w:pPr>
  </w:style>
  <w:style w:type="paragraph" w:styleId="22">
    <w:name w:val="toc 8"/>
    <w:basedOn w:val="1"/>
    <w:next w:val="1"/>
    <w:qFormat/>
    <w:uiPriority w:val="0"/>
    <w:pPr>
      <w:ind w:left="2940" w:leftChars="1400"/>
    </w:pPr>
  </w:style>
  <w:style w:type="paragraph" w:styleId="23">
    <w:name w:val="Date"/>
    <w:basedOn w:val="1"/>
    <w:next w:val="1"/>
    <w:link w:val="76"/>
    <w:qFormat/>
    <w:uiPriority w:val="0"/>
    <w:pPr>
      <w:ind w:left="100" w:leftChars="2500"/>
    </w:pPr>
    <w:rPr>
      <w:rFonts w:ascii="宋体" w:hAnsiTheme="minorHAnsi" w:eastAsiaTheme="minorEastAsia" w:cstheme="minorBidi"/>
      <w:sz w:val="28"/>
    </w:rPr>
  </w:style>
  <w:style w:type="paragraph" w:styleId="24">
    <w:name w:val="Balloon Text"/>
    <w:basedOn w:val="1"/>
    <w:link w:val="62"/>
    <w:qFormat/>
    <w:uiPriority w:val="0"/>
    <w:rPr>
      <w:rFonts w:ascii="宋体" w:hAnsiTheme="minorHAnsi" w:eastAsiaTheme="minorEastAsia" w:cstheme="minorBidi"/>
      <w:sz w:val="18"/>
      <w:szCs w:val="18"/>
    </w:rPr>
  </w:style>
  <w:style w:type="paragraph" w:styleId="25">
    <w:name w:val="footer"/>
    <w:basedOn w:val="1"/>
    <w:link w:val="46"/>
    <w:unhideWhenUsed/>
    <w:qFormat/>
    <w:uiPriority w:val="99"/>
    <w:pPr>
      <w:tabs>
        <w:tab w:val="center" w:pos="4153"/>
        <w:tab w:val="right" w:pos="8306"/>
      </w:tabs>
      <w:snapToGrid w:val="0"/>
      <w:jc w:val="left"/>
    </w:pPr>
    <w:rPr>
      <w:sz w:val="18"/>
      <w:szCs w:val="18"/>
    </w:rPr>
  </w:style>
  <w:style w:type="paragraph" w:styleId="26">
    <w:name w:val="header"/>
    <w:basedOn w:val="1"/>
    <w:link w:val="45"/>
    <w:unhideWhenUsed/>
    <w:qFormat/>
    <w:uiPriority w:val="0"/>
    <w:pPr>
      <w:pBdr>
        <w:bottom w:val="single" w:color="auto" w:sz="6" w:space="1"/>
      </w:pBdr>
      <w:tabs>
        <w:tab w:val="center" w:pos="4153"/>
        <w:tab w:val="right" w:pos="8306"/>
      </w:tabs>
      <w:snapToGrid w:val="0"/>
      <w:jc w:val="center"/>
    </w:pPr>
    <w:rPr>
      <w:sz w:val="18"/>
      <w:szCs w:val="18"/>
    </w:rPr>
  </w:style>
  <w:style w:type="paragraph" w:styleId="27">
    <w:name w:val="toc 1"/>
    <w:basedOn w:val="1"/>
    <w:next w:val="1"/>
    <w:qFormat/>
    <w:uiPriority w:val="39"/>
    <w:pPr>
      <w:tabs>
        <w:tab w:val="right" w:leader="dot" w:pos="8296"/>
      </w:tabs>
    </w:pPr>
    <w:rPr>
      <w:rFonts w:ascii="宋体" w:hAnsi="Times New Roman" w:eastAsia="楷体_GB2312" w:cs="TimesNewRomanPSMT"/>
      <w:b/>
      <w:kern w:val="0"/>
      <w:sz w:val="28"/>
      <w:szCs w:val="20"/>
    </w:rPr>
  </w:style>
  <w:style w:type="paragraph" w:styleId="28">
    <w:name w:val="toc 4"/>
    <w:basedOn w:val="1"/>
    <w:next w:val="1"/>
    <w:qFormat/>
    <w:uiPriority w:val="0"/>
    <w:pPr>
      <w:tabs>
        <w:tab w:val="left" w:pos="1890"/>
        <w:tab w:val="right" w:leader="dot" w:pos="8296"/>
      </w:tabs>
      <w:ind w:left="630" w:leftChars="300"/>
    </w:pPr>
  </w:style>
  <w:style w:type="paragraph" w:styleId="29">
    <w:name w:val="Subtitle"/>
    <w:basedOn w:val="1"/>
    <w:next w:val="1"/>
    <w:link w:val="57"/>
    <w:qFormat/>
    <w:uiPriority w:val="0"/>
    <w:pPr>
      <w:spacing w:before="240" w:after="60" w:line="312" w:lineRule="auto"/>
      <w:jc w:val="center"/>
      <w:outlineLvl w:val="1"/>
    </w:pPr>
    <w:rPr>
      <w:rFonts w:ascii="Cambria" w:hAnsi="Cambria" w:eastAsiaTheme="minorEastAsia" w:cstheme="minorBidi"/>
      <w:b/>
      <w:bCs/>
      <w:kern w:val="28"/>
      <w:sz w:val="32"/>
      <w:szCs w:val="32"/>
    </w:rPr>
  </w:style>
  <w:style w:type="paragraph" w:styleId="30">
    <w:name w:val="toc 6"/>
    <w:basedOn w:val="1"/>
    <w:next w:val="1"/>
    <w:qFormat/>
    <w:uiPriority w:val="0"/>
    <w:pPr>
      <w:ind w:left="2100" w:leftChars="1000"/>
    </w:pPr>
  </w:style>
  <w:style w:type="paragraph" w:styleId="31">
    <w:name w:val="toc 2"/>
    <w:basedOn w:val="1"/>
    <w:next w:val="1"/>
    <w:qFormat/>
    <w:uiPriority w:val="39"/>
    <w:pPr>
      <w:ind w:left="420" w:leftChars="200"/>
    </w:pPr>
    <w:rPr>
      <w:rFonts w:ascii="宋体" w:hAnsi="Times New Roman"/>
      <w:b/>
      <w:sz w:val="28"/>
      <w:szCs w:val="20"/>
    </w:rPr>
  </w:style>
  <w:style w:type="paragraph" w:styleId="32">
    <w:name w:val="toc 9"/>
    <w:basedOn w:val="1"/>
    <w:next w:val="1"/>
    <w:qFormat/>
    <w:uiPriority w:val="0"/>
    <w:pPr>
      <w:ind w:left="3360" w:leftChars="1600"/>
    </w:pPr>
  </w:style>
  <w:style w:type="paragraph" w:styleId="33">
    <w:name w:val="Normal (Web)"/>
    <w:basedOn w:val="1"/>
    <w:qFormat/>
    <w:uiPriority w:val="0"/>
    <w:pPr>
      <w:widowControl/>
      <w:spacing w:before="100" w:beforeAutospacing="1" w:after="100" w:afterAutospacing="1" w:line="320" w:lineRule="atLeast"/>
      <w:jc w:val="left"/>
    </w:pPr>
    <w:rPr>
      <w:rFonts w:ascii="宋体" w:hAnsi="宋体"/>
      <w:kern w:val="0"/>
      <w:sz w:val="18"/>
      <w:szCs w:val="18"/>
    </w:rPr>
  </w:style>
  <w:style w:type="paragraph" w:styleId="34">
    <w:name w:val="Title"/>
    <w:basedOn w:val="1"/>
    <w:next w:val="1"/>
    <w:link w:val="82"/>
    <w:qFormat/>
    <w:uiPriority w:val="0"/>
    <w:pPr>
      <w:spacing w:before="240" w:after="60"/>
      <w:jc w:val="center"/>
      <w:outlineLvl w:val="0"/>
    </w:pPr>
    <w:rPr>
      <w:rFonts w:ascii="Cambria" w:hAnsi="Cambria" w:eastAsiaTheme="minorEastAsia" w:cstheme="minorBidi"/>
      <w:b/>
      <w:bCs/>
      <w:sz w:val="32"/>
      <w:szCs w:val="32"/>
    </w:rPr>
  </w:style>
  <w:style w:type="paragraph" w:styleId="35">
    <w:name w:val="annotation subject"/>
    <w:basedOn w:val="16"/>
    <w:next w:val="16"/>
    <w:link w:val="74"/>
    <w:qFormat/>
    <w:uiPriority w:val="0"/>
    <w:rPr>
      <w:rFonts w:ascii="宋体"/>
      <w:b/>
      <w:bCs/>
      <w:sz w:val="28"/>
    </w:rPr>
  </w:style>
  <w:style w:type="paragraph" w:styleId="36">
    <w:name w:val="Body Text First Indent 2"/>
    <w:basedOn w:val="18"/>
    <w:link w:val="87"/>
    <w:unhideWhenUsed/>
    <w:qFormat/>
    <w:uiPriority w:val="0"/>
    <w:pPr>
      <w:widowControl w:val="0"/>
      <w:overflowPunct/>
      <w:autoSpaceDE/>
      <w:autoSpaceDN/>
      <w:spacing w:after="120"/>
      <w:ind w:firstLine="420"/>
      <w:textAlignment w:val="auto"/>
    </w:pPr>
    <w:rPr>
      <w:rFonts w:ascii="Calibri" w:hAnsi="Calibri" w:eastAsia="宋体"/>
      <w:color w:val="000000"/>
      <w:spacing w:val="0"/>
      <w:sz w:val="20"/>
      <w:szCs w:val="24"/>
    </w:rPr>
  </w:style>
  <w:style w:type="table" w:styleId="38">
    <w:name w:val="Table Grid"/>
    <w:basedOn w:val="3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0">
    <w:name w:val="Strong"/>
    <w:qFormat/>
    <w:uiPriority w:val="0"/>
    <w:rPr>
      <w:b/>
      <w:bCs/>
    </w:rPr>
  </w:style>
  <w:style w:type="character" w:styleId="41">
    <w:name w:val="page number"/>
    <w:qFormat/>
    <w:uiPriority w:val="0"/>
    <w:rPr>
      <w:rFonts w:cs="Times New Roman"/>
    </w:rPr>
  </w:style>
  <w:style w:type="character" w:styleId="42">
    <w:name w:val="Emphasis"/>
    <w:qFormat/>
    <w:uiPriority w:val="0"/>
    <w:rPr>
      <w:i/>
      <w:iCs/>
    </w:rPr>
  </w:style>
  <w:style w:type="character" w:styleId="43">
    <w:name w:val="Hyperlink"/>
    <w:qFormat/>
    <w:uiPriority w:val="99"/>
    <w:rPr>
      <w:rFonts w:cs="Times New Roman"/>
      <w:color w:val="0000FF"/>
      <w:u w:val="single"/>
    </w:rPr>
  </w:style>
  <w:style w:type="character" w:styleId="44">
    <w:name w:val="annotation reference"/>
    <w:qFormat/>
    <w:uiPriority w:val="0"/>
    <w:rPr>
      <w:rFonts w:cs="Times New Roman"/>
      <w:sz w:val="21"/>
      <w:szCs w:val="21"/>
    </w:rPr>
  </w:style>
  <w:style w:type="character" w:customStyle="1" w:styleId="45">
    <w:name w:val="页眉 字符"/>
    <w:basedOn w:val="39"/>
    <w:link w:val="26"/>
    <w:qFormat/>
    <w:uiPriority w:val="0"/>
    <w:rPr>
      <w:sz w:val="18"/>
      <w:szCs w:val="18"/>
    </w:rPr>
  </w:style>
  <w:style w:type="character" w:customStyle="1" w:styleId="46">
    <w:name w:val="页脚 字符"/>
    <w:basedOn w:val="39"/>
    <w:link w:val="25"/>
    <w:qFormat/>
    <w:uiPriority w:val="99"/>
    <w:rPr>
      <w:sz w:val="18"/>
      <w:szCs w:val="18"/>
    </w:rPr>
  </w:style>
  <w:style w:type="character" w:customStyle="1" w:styleId="47">
    <w:name w:val="标题 1 字符"/>
    <w:basedOn w:val="39"/>
    <w:link w:val="3"/>
    <w:qFormat/>
    <w:uiPriority w:val="0"/>
    <w:rPr>
      <w:rFonts w:ascii="Calibri" w:hAnsi="Calibri" w:eastAsia="宋体" w:cs="Times New Roman"/>
      <w:b/>
      <w:bCs/>
      <w:kern w:val="44"/>
      <w:sz w:val="44"/>
      <w:szCs w:val="44"/>
    </w:rPr>
  </w:style>
  <w:style w:type="character" w:customStyle="1" w:styleId="48">
    <w:name w:val="标题 2 字符"/>
    <w:basedOn w:val="39"/>
    <w:link w:val="4"/>
    <w:qFormat/>
    <w:uiPriority w:val="0"/>
    <w:rPr>
      <w:rFonts w:ascii="Cambria" w:hAnsi="Cambria" w:eastAsia="宋体" w:cs="Times New Roman"/>
      <w:b/>
      <w:bCs/>
      <w:sz w:val="32"/>
      <w:szCs w:val="32"/>
    </w:rPr>
  </w:style>
  <w:style w:type="character" w:customStyle="1" w:styleId="49">
    <w:name w:val="标题 3 字符"/>
    <w:basedOn w:val="39"/>
    <w:link w:val="5"/>
    <w:qFormat/>
    <w:uiPriority w:val="0"/>
    <w:rPr>
      <w:rFonts w:ascii="Calibri" w:hAnsi="Calibri" w:eastAsia="宋体" w:cs="Times New Roman"/>
      <w:b/>
      <w:bCs/>
      <w:sz w:val="32"/>
      <w:szCs w:val="32"/>
    </w:rPr>
  </w:style>
  <w:style w:type="character" w:customStyle="1" w:styleId="50">
    <w:name w:val="标题 4 字符"/>
    <w:basedOn w:val="39"/>
    <w:link w:val="7"/>
    <w:qFormat/>
    <w:uiPriority w:val="0"/>
    <w:rPr>
      <w:rFonts w:ascii="Cambria" w:hAnsi="Cambria" w:eastAsia="宋体" w:cs="Times New Roman"/>
      <w:b/>
      <w:bCs/>
      <w:sz w:val="28"/>
      <w:szCs w:val="28"/>
    </w:rPr>
  </w:style>
  <w:style w:type="character" w:customStyle="1" w:styleId="51">
    <w:name w:val="标题 5 字符"/>
    <w:basedOn w:val="39"/>
    <w:link w:val="8"/>
    <w:qFormat/>
    <w:uiPriority w:val="0"/>
    <w:rPr>
      <w:rFonts w:ascii="Calibri" w:hAnsi="Calibri" w:eastAsia="宋体" w:cs="Times New Roman"/>
      <w:b/>
      <w:bCs/>
      <w:sz w:val="28"/>
      <w:szCs w:val="28"/>
    </w:rPr>
  </w:style>
  <w:style w:type="character" w:customStyle="1" w:styleId="52">
    <w:name w:val="标题 6 字符"/>
    <w:basedOn w:val="39"/>
    <w:link w:val="9"/>
    <w:qFormat/>
    <w:uiPriority w:val="0"/>
    <w:rPr>
      <w:rFonts w:ascii="Cambria" w:hAnsi="Cambria" w:eastAsia="宋体" w:cs="Times New Roman"/>
      <w:b/>
      <w:bCs/>
      <w:sz w:val="24"/>
      <w:szCs w:val="24"/>
    </w:rPr>
  </w:style>
  <w:style w:type="character" w:customStyle="1" w:styleId="53">
    <w:name w:val="标题 7 字符"/>
    <w:basedOn w:val="39"/>
    <w:link w:val="10"/>
    <w:qFormat/>
    <w:uiPriority w:val="0"/>
    <w:rPr>
      <w:rFonts w:ascii="Calibri" w:hAnsi="Calibri" w:eastAsia="宋体" w:cs="Times New Roman"/>
      <w:b/>
      <w:bCs/>
      <w:sz w:val="24"/>
      <w:szCs w:val="24"/>
    </w:rPr>
  </w:style>
  <w:style w:type="character" w:customStyle="1" w:styleId="54">
    <w:name w:val="标题 8 字符"/>
    <w:basedOn w:val="39"/>
    <w:link w:val="11"/>
    <w:qFormat/>
    <w:uiPriority w:val="0"/>
    <w:rPr>
      <w:rFonts w:ascii="Cambria" w:hAnsi="Cambria" w:eastAsia="宋体" w:cs="Times New Roman"/>
      <w:sz w:val="24"/>
      <w:szCs w:val="24"/>
    </w:rPr>
  </w:style>
  <w:style w:type="character" w:customStyle="1" w:styleId="55">
    <w:name w:val="标题 9 字符"/>
    <w:basedOn w:val="39"/>
    <w:link w:val="12"/>
    <w:qFormat/>
    <w:uiPriority w:val="0"/>
    <w:rPr>
      <w:rFonts w:ascii="Cambria" w:hAnsi="Cambria" w:eastAsia="宋体" w:cs="Times New Roman"/>
      <w:szCs w:val="21"/>
    </w:rPr>
  </w:style>
  <w:style w:type="character" w:customStyle="1" w:styleId="56">
    <w:name w:val="日期 Char1"/>
    <w:qFormat/>
    <w:uiPriority w:val="0"/>
    <w:rPr>
      <w:kern w:val="2"/>
      <w:sz w:val="21"/>
      <w:szCs w:val="22"/>
    </w:rPr>
  </w:style>
  <w:style w:type="character" w:customStyle="1" w:styleId="57">
    <w:name w:val="副标题 字符"/>
    <w:link w:val="29"/>
    <w:qFormat/>
    <w:uiPriority w:val="0"/>
    <w:rPr>
      <w:rFonts w:ascii="Cambria" w:hAnsi="Cambria"/>
      <w:b/>
      <w:bCs/>
      <w:kern w:val="28"/>
      <w:sz w:val="32"/>
      <w:szCs w:val="32"/>
    </w:rPr>
  </w:style>
  <w:style w:type="character" w:customStyle="1" w:styleId="58">
    <w:name w:val="文档结构图 Char1"/>
    <w:qFormat/>
    <w:uiPriority w:val="0"/>
    <w:rPr>
      <w:rFonts w:ascii="宋体"/>
      <w:kern w:val="2"/>
      <w:sz w:val="18"/>
      <w:szCs w:val="18"/>
    </w:rPr>
  </w:style>
  <w:style w:type="character" w:customStyle="1" w:styleId="59">
    <w:name w:val="标题5 Char Char"/>
    <w:link w:val="60"/>
    <w:qFormat/>
    <w:uiPriority w:val="0"/>
    <w:rPr>
      <w:rFonts w:ascii="Arial" w:hAnsi="Arial"/>
      <w:b/>
      <w:bCs/>
      <w:sz w:val="24"/>
      <w:szCs w:val="32"/>
    </w:rPr>
  </w:style>
  <w:style w:type="paragraph" w:customStyle="1" w:styleId="60">
    <w:name w:val="标题5"/>
    <w:basedOn w:val="5"/>
    <w:link w:val="59"/>
    <w:qFormat/>
    <w:uiPriority w:val="0"/>
    <w:rPr>
      <w:rFonts w:ascii="Arial" w:hAnsi="Arial" w:eastAsiaTheme="minorEastAsia" w:cstheme="minorBidi"/>
      <w:sz w:val="24"/>
    </w:rPr>
  </w:style>
  <w:style w:type="character" w:customStyle="1" w:styleId="61">
    <w:name w:val="批注框文本 Char1"/>
    <w:qFormat/>
    <w:uiPriority w:val="0"/>
    <w:rPr>
      <w:kern w:val="2"/>
      <w:sz w:val="18"/>
      <w:szCs w:val="18"/>
    </w:rPr>
  </w:style>
  <w:style w:type="character" w:customStyle="1" w:styleId="62">
    <w:name w:val="批注框文本 字符"/>
    <w:link w:val="24"/>
    <w:qFormat/>
    <w:uiPriority w:val="0"/>
    <w:rPr>
      <w:rFonts w:ascii="宋体"/>
      <w:sz w:val="18"/>
      <w:szCs w:val="18"/>
    </w:rPr>
  </w:style>
  <w:style w:type="character" w:customStyle="1" w:styleId="63">
    <w:name w:val="引用 字符"/>
    <w:link w:val="64"/>
    <w:qFormat/>
    <w:uiPriority w:val="0"/>
    <w:rPr>
      <w:i/>
      <w:iCs/>
      <w:color w:val="000000"/>
    </w:rPr>
  </w:style>
  <w:style w:type="paragraph" w:styleId="64">
    <w:name w:val="Quote"/>
    <w:basedOn w:val="1"/>
    <w:next w:val="1"/>
    <w:link w:val="63"/>
    <w:qFormat/>
    <w:uiPriority w:val="0"/>
    <w:rPr>
      <w:rFonts w:asciiTheme="minorHAnsi" w:hAnsiTheme="minorHAnsi" w:eastAsiaTheme="minorEastAsia" w:cstheme="minorBidi"/>
      <w:i/>
      <w:iCs/>
      <w:color w:val="000000"/>
    </w:rPr>
  </w:style>
  <w:style w:type="character" w:customStyle="1" w:styleId="65">
    <w:name w:val="批注主题 Char1"/>
    <w:qFormat/>
    <w:uiPriority w:val="0"/>
    <w:rPr>
      <w:b/>
      <w:bCs/>
      <w:kern w:val="2"/>
      <w:sz w:val="21"/>
      <w:szCs w:val="22"/>
    </w:rPr>
  </w:style>
  <w:style w:type="character" w:customStyle="1" w:styleId="66">
    <w:name w:val="不明显强调1"/>
    <w:qFormat/>
    <w:uiPriority w:val="0"/>
    <w:rPr>
      <w:i/>
      <w:iCs/>
      <w:color w:val="808080"/>
    </w:rPr>
  </w:style>
  <w:style w:type="character" w:customStyle="1" w:styleId="67">
    <w:name w:val="明显引用 字符"/>
    <w:link w:val="68"/>
    <w:qFormat/>
    <w:uiPriority w:val="0"/>
    <w:rPr>
      <w:b/>
      <w:bCs/>
      <w:i/>
      <w:iCs/>
      <w:color w:val="4F81BD"/>
    </w:rPr>
  </w:style>
  <w:style w:type="paragraph" w:styleId="68">
    <w:name w:val="Intense Quote"/>
    <w:basedOn w:val="1"/>
    <w:next w:val="1"/>
    <w:link w:val="67"/>
    <w:qFormat/>
    <w:uiPriority w:val="0"/>
    <w:pPr>
      <w:pBdr>
        <w:bottom w:val="single" w:color="4F81BD" w:sz="4" w:space="4"/>
      </w:pBdr>
      <w:spacing w:before="200" w:after="280"/>
      <w:ind w:left="936" w:right="936"/>
    </w:pPr>
    <w:rPr>
      <w:rFonts w:asciiTheme="minorHAnsi" w:hAnsiTheme="minorHAnsi" w:eastAsiaTheme="minorEastAsia" w:cstheme="minorBidi"/>
      <w:b/>
      <w:bCs/>
      <w:i/>
      <w:iCs/>
      <w:color w:val="4F81BD"/>
    </w:rPr>
  </w:style>
  <w:style w:type="character" w:customStyle="1" w:styleId="69">
    <w:name w:val="明显参考1"/>
    <w:qFormat/>
    <w:uiPriority w:val="0"/>
    <w:rPr>
      <w:b/>
      <w:bCs/>
      <w:smallCaps/>
      <w:color w:val="C0504D"/>
      <w:spacing w:val="5"/>
      <w:u w:val="single"/>
    </w:rPr>
  </w:style>
  <w:style w:type="character" w:customStyle="1" w:styleId="70">
    <w:name w:val="书籍标题1"/>
    <w:qFormat/>
    <w:uiPriority w:val="0"/>
    <w:rPr>
      <w:b/>
      <w:bCs/>
      <w:smallCaps/>
      <w:spacing w:val="5"/>
    </w:rPr>
  </w:style>
  <w:style w:type="character" w:customStyle="1" w:styleId="71">
    <w:name w:val="文档结构图 字符"/>
    <w:link w:val="15"/>
    <w:qFormat/>
    <w:uiPriority w:val="0"/>
    <w:rPr>
      <w:szCs w:val="24"/>
      <w:shd w:val="clear" w:color="auto" w:fill="000080"/>
    </w:rPr>
  </w:style>
  <w:style w:type="character" w:customStyle="1" w:styleId="72">
    <w:name w:val="标题4 Char Char"/>
    <w:link w:val="73"/>
    <w:qFormat/>
    <w:uiPriority w:val="0"/>
    <w:rPr>
      <w:rFonts w:ascii="Arial" w:hAnsi="Arial"/>
      <w:b/>
      <w:bCs/>
      <w:sz w:val="24"/>
      <w:szCs w:val="32"/>
    </w:rPr>
  </w:style>
  <w:style w:type="paragraph" w:customStyle="1" w:styleId="73">
    <w:name w:val="标题4"/>
    <w:basedOn w:val="4"/>
    <w:next w:val="19"/>
    <w:link w:val="72"/>
    <w:qFormat/>
    <w:uiPriority w:val="0"/>
    <w:rPr>
      <w:rFonts w:ascii="Arial" w:hAnsi="Arial" w:eastAsiaTheme="minorEastAsia" w:cstheme="minorBidi"/>
      <w:sz w:val="24"/>
    </w:rPr>
  </w:style>
  <w:style w:type="character" w:customStyle="1" w:styleId="74">
    <w:name w:val="批注主题 字符"/>
    <w:link w:val="35"/>
    <w:qFormat/>
    <w:uiPriority w:val="0"/>
    <w:rPr>
      <w:rFonts w:ascii="宋体"/>
      <w:b/>
      <w:bCs/>
      <w:sz w:val="28"/>
    </w:rPr>
  </w:style>
  <w:style w:type="character" w:customStyle="1" w:styleId="75">
    <w:name w:val="正文文本 字符"/>
    <w:link w:val="17"/>
    <w:qFormat/>
    <w:uiPriority w:val="0"/>
  </w:style>
  <w:style w:type="character" w:customStyle="1" w:styleId="76">
    <w:name w:val="日期 字符"/>
    <w:link w:val="23"/>
    <w:qFormat/>
    <w:uiPriority w:val="0"/>
    <w:rPr>
      <w:rFonts w:ascii="宋体"/>
      <w:sz w:val="28"/>
    </w:rPr>
  </w:style>
  <w:style w:type="character" w:customStyle="1" w:styleId="77">
    <w:name w:val="明显强调1"/>
    <w:qFormat/>
    <w:uiPriority w:val="0"/>
    <w:rPr>
      <w:b/>
      <w:bCs/>
      <w:i/>
      <w:iCs/>
      <w:color w:val="4F81BD"/>
    </w:rPr>
  </w:style>
  <w:style w:type="character" w:customStyle="1" w:styleId="78">
    <w:name w:val="textcontents"/>
    <w:qFormat/>
    <w:uiPriority w:val="0"/>
    <w:rPr>
      <w:rFonts w:cs="Times New Roman"/>
    </w:rPr>
  </w:style>
  <w:style w:type="character" w:customStyle="1" w:styleId="79">
    <w:name w:val="批注文字 Char Char"/>
    <w:qFormat/>
    <w:uiPriority w:val="0"/>
    <w:rPr>
      <w:rFonts w:ascii="宋体" w:hAnsi="Times New Roman" w:eastAsia="宋体" w:cs="Times New Roman"/>
      <w:sz w:val="28"/>
      <w:szCs w:val="20"/>
    </w:rPr>
  </w:style>
  <w:style w:type="character" w:customStyle="1" w:styleId="80">
    <w:name w:val="正文文本 Char1"/>
    <w:qFormat/>
    <w:uiPriority w:val="0"/>
    <w:rPr>
      <w:kern w:val="2"/>
      <w:sz w:val="21"/>
      <w:szCs w:val="22"/>
    </w:rPr>
  </w:style>
  <w:style w:type="character" w:customStyle="1" w:styleId="81">
    <w:name w:val="批注文字 字符"/>
    <w:link w:val="16"/>
    <w:qFormat/>
    <w:uiPriority w:val="0"/>
  </w:style>
  <w:style w:type="character" w:customStyle="1" w:styleId="82">
    <w:name w:val="标题 字符"/>
    <w:link w:val="34"/>
    <w:qFormat/>
    <w:uiPriority w:val="0"/>
    <w:rPr>
      <w:rFonts w:ascii="Cambria" w:hAnsi="Cambria"/>
      <w:b/>
      <w:bCs/>
      <w:sz w:val="32"/>
      <w:szCs w:val="32"/>
    </w:rPr>
  </w:style>
  <w:style w:type="character" w:customStyle="1" w:styleId="83">
    <w:name w:val="不明显参考1"/>
    <w:qFormat/>
    <w:uiPriority w:val="0"/>
    <w:rPr>
      <w:smallCaps/>
      <w:color w:val="C0504D"/>
      <w:u w:val="single"/>
    </w:rPr>
  </w:style>
  <w:style w:type="character" w:customStyle="1" w:styleId="84">
    <w:name w:val="批注文字 字符1"/>
    <w:basedOn w:val="39"/>
    <w:semiHidden/>
    <w:qFormat/>
    <w:uiPriority w:val="99"/>
    <w:rPr>
      <w:rFonts w:ascii="Calibri" w:hAnsi="Calibri" w:eastAsia="宋体" w:cs="Times New Roman"/>
    </w:rPr>
  </w:style>
  <w:style w:type="character" w:customStyle="1" w:styleId="85">
    <w:name w:val="标题 字符1"/>
    <w:basedOn w:val="39"/>
    <w:qFormat/>
    <w:uiPriority w:val="10"/>
    <w:rPr>
      <w:rFonts w:asciiTheme="majorHAnsi" w:hAnsiTheme="majorHAnsi" w:eastAsiaTheme="majorEastAsia" w:cstheme="majorBidi"/>
      <w:b/>
      <w:bCs/>
      <w:sz w:val="32"/>
      <w:szCs w:val="32"/>
    </w:rPr>
  </w:style>
  <w:style w:type="character" w:customStyle="1" w:styleId="86">
    <w:name w:val="正文文本缩进 字符"/>
    <w:basedOn w:val="39"/>
    <w:link w:val="18"/>
    <w:qFormat/>
    <w:uiPriority w:val="0"/>
    <w:rPr>
      <w:rFonts w:ascii="Tahoma" w:hAnsi="宋体" w:eastAsia="@smartSimSun" w:cs="Times New Roman"/>
      <w:spacing w:val="12"/>
      <w:kern w:val="0"/>
      <w:sz w:val="24"/>
      <w:szCs w:val="20"/>
    </w:rPr>
  </w:style>
  <w:style w:type="character" w:customStyle="1" w:styleId="87">
    <w:name w:val="正文首行缩进 2 字符"/>
    <w:basedOn w:val="86"/>
    <w:link w:val="36"/>
    <w:qFormat/>
    <w:uiPriority w:val="0"/>
    <w:rPr>
      <w:rFonts w:ascii="Calibri" w:hAnsi="Calibri" w:eastAsia="宋体" w:cs="Times New Roman"/>
      <w:color w:val="000000"/>
      <w:spacing w:val="12"/>
      <w:kern w:val="0"/>
      <w:sz w:val="20"/>
      <w:szCs w:val="24"/>
    </w:rPr>
  </w:style>
  <w:style w:type="character" w:customStyle="1" w:styleId="88">
    <w:name w:val="日期 字符1"/>
    <w:basedOn w:val="39"/>
    <w:semiHidden/>
    <w:qFormat/>
    <w:uiPriority w:val="99"/>
    <w:rPr>
      <w:rFonts w:ascii="Calibri" w:hAnsi="Calibri" w:eastAsia="宋体" w:cs="Times New Roman"/>
    </w:rPr>
  </w:style>
  <w:style w:type="character" w:customStyle="1" w:styleId="89">
    <w:name w:val="批注主题 字符1"/>
    <w:basedOn w:val="84"/>
    <w:semiHidden/>
    <w:qFormat/>
    <w:uiPriority w:val="99"/>
    <w:rPr>
      <w:rFonts w:ascii="Calibri" w:hAnsi="Calibri" w:eastAsia="宋体" w:cs="Times New Roman"/>
      <w:b/>
      <w:bCs/>
    </w:rPr>
  </w:style>
  <w:style w:type="character" w:customStyle="1" w:styleId="90">
    <w:name w:val="正文文本 字符1"/>
    <w:basedOn w:val="39"/>
    <w:semiHidden/>
    <w:qFormat/>
    <w:uiPriority w:val="99"/>
    <w:rPr>
      <w:rFonts w:ascii="Calibri" w:hAnsi="Calibri" w:eastAsia="宋体" w:cs="Times New Roman"/>
    </w:rPr>
  </w:style>
  <w:style w:type="character" w:customStyle="1" w:styleId="91">
    <w:name w:val="批注框文本 字符1"/>
    <w:basedOn w:val="39"/>
    <w:semiHidden/>
    <w:qFormat/>
    <w:uiPriority w:val="99"/>
    <w:rPr>
      <w:rFonts w:ascii="Calibri" w:hAnsi="Calibri" w:eastAsia="宋体" w:cs="Times New Roman"/>
      <w:sz w:val="18"/>
      <w:szCs w:val="18"/>
    </w:rPr>
  </w:style>
  <w:style w:type="character" w:customStyle="1" w:styleId="92">
    <w:name w:val="文档结构图 字符1"/>
    <w:basedOn w:val="39"/>
    <w:semiHidden/>
    <w:qFormat/>
    <w:uiPriority w:val="99"/>
    <w:rPr>
      <w:rFonts w:ascii="Microsoft YaHei UI" w:hAnsi="Calibri" w:eastAsia="Microsoft YaHei UI" w:cs="Times New Roman"/>
      <w:sz w:val="18"/>
      <w:szCs w:val="18"/>
    </w:rPr>
  </w:style>
  <w:style w:type="character" w:customStyle="1" w:styleId="93">
    <w:name w:val="副标题 字符1"/>
    <w:basedOn w:val="39"/>
    <w:qFormat/>
    <w:uiPriority w:val="11"/>
    <w:rPr>
      <w:b/>
      <w:bCs/>
      <w:kern w:val="28"/>
      <w:sz w:val="32"/>
      <w:szCs w:val="32"/>
    </w:rPr>
  </w:style>
  <w:style w:type="paragraph" w:customStyle="1" w:styleId="94">
    <w:name w:val="样式 标题 3 + (中文) 黑体 小四 非加粗 段前: 7.8 磅 段后: 0 磅 行距: 固定值 20 磅"/>
    <w:basedOn w:val="5"/>
    <w:qFormat/>
    <w:uiPriority w:val="0"/>
    <w:pPr>
      <w:spacing w:before="0" w:after="0" w:line="400" w:lineRule="exact"/>
    </w:pPr>
    <w:rPr>
      <w:rFonts w:ascii="Times New Roman" w:hAnsi="Times New Roman" w:eastAsia="黑体" w:cs="宋体"/>
      <w:b w:val="0"/>
      <w:bCs w:val="0"/>
      <w:sz w:val="24"/>
      <w:szCs w:val="20"/>
    </w:rPr>
  </w:style>
  <w:style w:type="paragraph" w:styleId="95">
    <w:name w:val="No Spacing"/>
    <w:qFormat/>
    <w:uiPriority w:val="0"/>
    <w:pPr>
      <w:widowControl w:val="0"/>
      <w:jc w:val="both"/>
    </w:pPr>
    <w:rPr>
      <w:rFonts w:ascii="Calibri" w:hAnsi="Calibri" w:eastAsia="宋体" w:cs="Times New Roman"/>
      <w:kern w:val="2"/>
      <w:sz w:val="21"/>
      <w:szCs w:val="22"/>
      <w:lang w:val="en-US" w:eastAsia="zh-CN" w:bidi="ar-SA"/>
    </w:rPr>
  </w:style>
  <w:style w:type="paragraph" w:customStyle="1" w:styleId="96">
    <w:name w:val="空半行"/>
    <w:basedOn w:val="1"/>
    <w:qFormat/>
    <w:uiPriority w:val="0"/>
    <w:pPr>
      <w:adjustRightInd w:val="0"/>
      <w:spacing w:line="120" w:lineRule="exact"/>
      <w:textAlignment w:val="baseline"/>
    </w:pPr>
    <w:rPr>
      <w:rFonts w:ascii="Times New Roman" w:hAnsi="Times New Roman" w:eastAsia="仿宋_GB2312"/>
      <w:color w:val="FFFFFF"/>
      <w:kern w:val="0"/>
      <w:sz w:val="30"/>
      <w:szCs w:val="20"/>
    </w:rPr>
  </w:style>
  <w:style w:type="paragraph" w:customStyle="1" w:styleId="97">
    <w:name w:val="样式 标题 2 + Times New Roman 四号 非加粗 段前: 5 磅 段后: 0 磅 行距: 固定值 20..."/>
    <w:basedOn w:val="4"/>
    <w:qFormat/>
    <w:uiPriority w:val="0"/>
    <w:pPr>
      <w:spacing w:before="100" w:after="0" w:line="400" w:lineRule="exact"/>
    </w:pPr>
    <w:rPr>
      <w:rFonts w:ascii="Times New Roman" w:hAnsi="Times New Roman" w:eastAsia="黑体" w:cs="宋体"/>
      <w:b w:val="0"/>
      <w:bCs w:val="0"/>
      <w:kern w:val="0"/>
      <w:sz w:val="28"/>
      <w:szCs w:val="20"/>
    </w:rPr>
  </w:style>
  <w:style w:type="paragraph" w:customStyle="1" w:styleId="98">
    <w:name w:val="修订1"/>
    <w:qFormat/>
    <w:uiPriority w:val="0"/>
    <w:rPr>
      <w:rFonts w:ascii="Times New Roman" w:hAnsi="Times New Roman" w:eastAsia="宋体" w:cs="Times New Roman"/>
      <w:kern w:val="2"/>
      <w:sz w:val="21"/>
      <w:szCs w:val="24"/>
      <w:lang w:val="en-US" w:eastAsia="zh-CN" w:bidi="ar-SA"/>
    </w:rPr>
  </w:style>
  <w:style w:type="character" w:customStyle="1" w:styleId="99">
    <w:name w:val="引用 字符1"/>
    <w:basedOn w:val="39"/>
    <w:qFormat/>
    <w:uiPriority w:val="29"/>
    <w:rPr>
      <w:rFonts w:ascii="Calibri" w:hAnsi="Calibri" w:eastAsia="宋体" w:cs="Times New Roman"/>
      <w:i/>
      <w:iCs/>
      <w:color w:val="404040" w:themeColor="text1" w:themeTint="BF"/>
      <w14:textFill>
        <w14:solidFill>
          <w14:schemeClr w14:val="tx1">
            <w14:lumMod w14:val="75000"/>
            <w14:lumOff w14:val="25000"/>
          </w14:schemeClr>
        </w14:solidFill>
      </w14:textFill>
    </w:rPr>
  </w:style>
  <w:style w:type="paragraph" w:styleId="100">
    <w:name w:val="List Paragraph"/>
    <w:basedOn w:val="1"/>
    <w:qFormat/>
    <w:uiPriority w:val="0"/>
    <w:pPr>
      <w:ind w:firstLine="420" w:firstLineChars="200"/>
    </w:pPr>
  </w:style>
  <w:style w:type="paragraph" w:customStyle="1" w:styleId="101">
    <w:name w:val="TOC 标题1"/>
    <w:basedOn w:val="3"/>
    <w:next w:val="1"/>
    <w:qFormat/>
    <w:uiPriority w:val="39"/>
    <w:pPr>
      <w:outlineLvl w:val="9"/>
    </w:pPr>
  </w:style>
  <w:style w:type="paragraph" w:customStyle="1" w:styleId="102">
    <w:name w:val="flNote"/>
    <w:basedOn w:val="1"/>
    <w:qFormat/>
    <w:uiPriority w:val="0"/>
    <w:pPr>
      <w:adjustRightInd w:val="0"/>
      <w:spacing w:before="320" w:after="160" w:line="360" w:lineRule="atLeast"/>
      <w:jc w:val="center"/>
      <w:textAlignment w:val="baseline"/>
    </w:pPr>
    <w:rPr>
      <w:rFonts w:ascii="Arial" w:hAnsi="Times New Roman" w:eastAsia="黑体"/>
      <w:kern w:val="0"/>
      <w:sz w:val="30"/>
      <w:szCs w:val="20"/>
    </w:rPr>
  </w:style>
  <w:style w:type="character" w:customStyle="1" w:styleId="103">
    <w:name w:val="明显引用 字符1"/>
    <w:basedOn w:val="39"/>
    <w:qFormat/>
    <w:uiPriority w:val="30"/>
    <w:rPr>
      <w:rFonts w:ascii="Calibri" w:hAnsi="Calibri" w:eastAsia="宋体" w:cs="Times New Roman"/>
      <w:i/>
      <w:iCs/>
      <w:color w:val="5B9BD5" w:themeColor="accent1"/>
      <w14:textFill>
        <w14:solidFill>
          <w14:schemeClr w14:val="accent1"/>
        </w14:solidFill>
      </w14:textFill>
    </w:rPr>
  </w:style>
  <w:style w:type="paragraph" w:customStyle="1" w:styleId="104">
    <w:name w:val="Char Char"/>
    <w:basedOn w:val="1"/>
    <w:qFormat/>
    <w:uiPriority w:val="0"/>
    <w:pPr>
      <w:adjustRightInd w:val="0"/>
      <w:spacing w:line="360" w:lineRule="atLeast"/>
    </w:pPr>
    <w:rPr>
      <w:rFonts w:ascii="Times New Roman" w:hAnsi="Times New Roman"/>
      <w:szCs w:val="24"/>
    </w:rPr>
  </w:style>
  <w:style w:type="paragraph" w:customStyle="1" w:styleId="105">
    <w:name w:val="表格文字2"/>
    <w:basedOn w:val="1"/>
    <w:qFormat/>
    <w:uiPriority w:val="0"/>
    <w:pPr>
      <w:spacing w:line="360" w:lineRule="auto"/>
      <w:jc w:val="left"/>
    </w:pPr>
    <w:rPr>
      <w:rFonts w:ascii="Times New Roman" w:hAnsi="Times New Roman"/>
      <w:sz w:val="24"/>
      <w:szCs w:val="24"/>
    </w:rPr>
  </w:style>
  <w:style w:type="paragraph" w:customStyle="1" w:styleId="106">
    <w:name w:val="表格1"/>
    <w:basedOn w:val="1"/>
    <w:next w:val="1"/>
    <w:qFormat/>
    <w:uiPriority w:val="0"/>
    <w:pPr>
      <w:spacing w:line="360" w:lineRule="auto"/>
      <w:ind w:left="113" w:right="113"/>
      <w:jc w:val="center"/>
    </w:pPr>
    <w:rPr>
      <w:rFonts w:ascii="Times New Roman" w:hAnsi="Times New Roman"/>
      <w:spacing w:val="-20"/>
      <w:sz w:val="24"/>
      <w:szCs w:val="24"/>
    </w:rPr>
  </w:style>
  <w:style w:type="paragraph" w:customStyle="1" w:styleId="107">
    <w:name w:val="表格"/>
    <w:basedOn w:val="1"/>
    <w:qFormat/>
    <w:uiPriority w:val="0"/>
    <w:pPr>
      <w:autoSpaceDE w:val="0"/>
      <w:autoSpaceDN w:val="0"/>
      <w:adjustRightInd w:val="0"/>
      <w:jc w:val="left"/>
    </w:pPr>
    <w:rPr>
      <w:rFonts w:ascii="宋体" w:hAnsi="Times New Roman" w:cs="宋体"/>
      <w:kern w:val="0"/>
      <w:sz w:val="24"/>
      <w:szCs w:val="24"/>
    </w:rPr>
  </w:style>
  <w:style w:type="paragraph" w:customStyle="1" w:styleId="108">
    <w:name w:val="Default"/>
    <w:qFormat/>
    <w:uiPriority w:val="0"/>
    <w:pPr>
      <w:widowControl w:val="0"/>
      <w:autoSpaceDE w:val="0"/>
      <w:autoSpaceDN w:val="0"/>
      <w:adjustRightInd w:val="0"/>
    </w:pPr>
    <w:rPr>
      <w:rFonts w:ascii="Times New Roman" w:hAnsi="Times New Roman" w:eastAsia="宋体" w:cs="Times New Roman"/>
      <w:color w:val="000000"/>
      <w:kern w:val="2"/>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jpeg"/><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png"/><Relationship Id="rId11" Type="http://schemas.openxmlformats.org/officeDocument/2006/relationships/image" Target="media/image5.jpe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62BD83-2D91-4A77-A9C2-A9A735BFC9EB}">
  <ds:schemaRefs/>
</ds:datastoreItem>
</file>

<file path=docProps/app.xml><?xml version="1.0" encoding="utf-8"?>
<Properties xmlns="http://schemas.openxmlformats.org/officeDocument/2006/extended-properties" xmlns:vt="http://schemas.openxmlformats.org/officeDocument/2006/docPropsVTypes">
  <Template>Normal</Template>
  <Company>KINGOLD</Company>
  <Pages>41</Pages>
  <Words>12085</Words>
  <Characters>12231</Characters>
  <Lines>319</Lines>
  <Paragraphs>89</Paragraphs>
  <TotalTime>18</TotalTime>
  <ScaleCrop>false</ScaleCrop>
  <LinksUpToDate>false</LinksUpToDate>
  <CharactersWithSpaces>12502</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2021-07-08T08:37:00Z</dcterms:created>
  <dc:creator>邓世良</dc:creator>
  <cp:lastModifiedBy>广东省建筑工程监理有限公司[广东省建筑工程监理有限公司]</cp:lastModifiedBy>
  <cp:lastPrinted>2021-09-15T08:41:00Z</cp:lastPrinted>
  <dcterms:modified xsi:type="dcterms:W3CDTF">2025-08-21T02:11:06Z</dcterms:modified>
  <cp:revision>33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2ED00F7E46744327A5CFACAA020F0E2E_13</vt:lpwstr>
  </property>
  <property fmtid="{D5CDD505-2E9C-101B-9397-08002B2CF9AE}" pid="4" name="KSOTemplateDocerSaveRecord">
    <vt:lpwstr>eyJoZGlkIjoiMTlhODk4NDM5OWM4YWU4MDU5ODA5ZThlMTI4ZWI3MDkiLCJ1c2VySWQiOiI0NTI0NTE4NjAifQ==</vt:lpwstr>
  </property>
</Properties>
</file>